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42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Dirección de Políticas Y Calidad En Salud</w:t>
      </w:r>
    </w:p>
    <w:p w:rsidR="00973A39" w:rsidRPr="00314FBB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Subdirección de Epidemiología</w:t>
      </w:r>
    </w:p>
    <w:p w:rsidR="00973A39" w:rsidRDefault="00973A39" w:rsidP="00E10383">
      <w:pPr>
        <w:spacing w:after="0" w:line="240" w:lineRule="auto"/>
        <w:jc w:val="center"/>
        <w:rPr>
          <w:b/>
        </w:rPr>
      </w:pPr>
      <w:r w:rsidRPr="00314FBB">
        <w:rPr>
          <w:b/>
        </w:rPr>
        <w:t>Departamento de Vigilancia Epidemiológica</w:t>
      </w:r>
    </w:p>
    <w:p w:rsidR="00E10383" w:rsidRDefault="00E10383" w:rsidP="00973A39">
      <w:pPr>
        <w:spacing w:after="0"/>
        <w:jc w:val="center"/>
        <w:rPr>
          <w:b/>
        </w:rPr>
      </w:pPr>
    </w:p>
    <w:p w:rsidR="00E10383" w:rsidRPr="00314FBB" w:rsidRDefault="007250ED" w:rsidP="00973A39">
      <w:pPr>
        <w:spacing w:after="0"/>
        <w:jc w:val="center"/>
        <w:rPr>
          <w:b/>
        </w:rPr>
      </w:pPr>
      <w:r>
        <w:rPr>
          <w:b/>
        </w:rPr>
        <w:t>FICHA DE IDENTIFICACIÓN DEL PACIENTE</w:t>
      </w:r>
    </w:p>
    <w:p w:rsidR="00973A39" w:rsidRDefault="00973A39" w:rsidP="00973A39">
      <w:pPr>
        <w:spacing w:after="0"/>
        <w:jc w:val="center"/>
        <w:rPr>
          <w:b/>
        </w:rPr>
      </w:pPr>
    </w:p>
    <w:tbl>
      <w:tblPr>
        <w:tblStyle w:val="Tablaconcuadrcula"/>
        <w:tblW w:w="10348" w:type="dxa"/>
        <w:tblInd w:w="279" w:type="dxa"/>
        <w:tblLook w:val="04A0" w:firstRow="1" w:lastRow="0" w:firstColumn="1" w:lastColumn="0" w:noHBand="0" w:noVBand="1"/>
      </w:tblPr>
      <w:tblGrid>
        <w:gridCol w:w="703"/>
        <w:gridCol w:w="871"/>
        <w:gridCol w:w="413"/>
        <w:gridCol w:w="3116"/>
        <w:gridCol w:w="71"/>
        <w:gridCol w:w="1205"/>
        <w:gridCol w:w="3969"/>
      </w:tblGrid>
      <w:tr w:rsidR="002B6E5B" w:rsidRPr="007250ED" w:rsidTr="000E7AEE">
        <w:trPr>
          <w:trHeight w:val="240"/>
        </w:trPr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NOMBRE</w:t>
            </w:r>
          </w:p>
        </w:tc>
        <w:tc>
          <w:tcPr>
            <w:tcW w:w="3529" w:type="dxa"/>
            <w:gridSpan w:val="2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ESTRELLA HERNANDEZ  EFRAÍN</w:t>
            </w:r>
          </w:p>
        </w:tc>
        <w:tc>
          <w:tcPr>
            <w:tcW w:w="5245" w:type="dxa"/>
            <w:gridSpan w:val="3"/>
          </w:tcPr>
          <w:p w:rsidR="00F54A55" w:rsidRPr="007250ED" w:rsidRDefault="00F54A55" w:rsidP="00F54A55">
            <w:pPr>
              <w:rPr>
                <w:rFonts w:ascii="Batang" w:eastAsia="Batang" w:hAnsi="Batang"/>
                <w:sz w:val="16"/>
                <w:szCs w:val="16"/>
              </w:rPr>
            </w:pPr>
          </w:p>
        </w:tc>
      </w:tr>
      <w:tr w:rsidR="002B6E5B" w:rsidRPr="007250ED" w:rsidTr="000E7AEE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EDAD</w:t>
            </w:r>
          </w:p>
        </w:tc>
        <w:tc>
          <w:tcPr>
            <w:tcW w:w="413" w:type="dxa"/>
            <w:vAlign w:val="center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42</w:t>
            </w:r>
          </w:p>
        </w:tc>
        <w:tc>
          <w:tcPr>
            <w:tcW w:w="8361" w:type="dxa"/>
            <w:gridSpan w:val="4"/>
            <w:vAlign w:val="center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AÑOS</w:t>
            </w:r>
          </w:p>
        </w:tc>
      </w:tr>
      <w:tr w:rsidR="009C176D" w:rsidRPr="007250ED" w:rsidTr="000E7AEE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/>
                <w:b/>
                <w:sz w:val="16"/>
                <w:szCs w:val="16"/>
              </w:rPr>
              <w:t>DOMICILIO</w:t>
            </w:r>
          </w:p>
        </w:tc>
        <w:tc>
          <w:tcPr>
            <w:tcW w:w="4805" w:type="dxa"/>
            <w:gridSpan w:val="4"/>
            <w:vAlign w:val="center"/>
          </w:tcPr>
          <w:p w:rsidR="00F54A55" w:rsidRPr="007250ED" w:rsidRDefault="000E7AEE" w:rsidP="00F54A55">
            <w:pPr>
              <w:rPr>
                <w:rFonts w:ascii="Batang" w:eastAsia="Batang" w:hAnsi="Batang"/>
                <w:sz w:val="16"/>
                <w:szCs w:val="16"/>
              </w:rPr>
            </w:pPr>
            <w:r>
              <w:rPr>
                <w:rFonts w:ascii="Batang" w:eastAsia="Batang" w:hAnsi="Batang"/>
                <w:sz w:val="16"/>
                <w:szCs w:val="16"/>
              </w:rPr>
              <w:t>AXTLA  DE  TERRAZAS</w:t>
            </w:r>
            <w:r w:rsidR="00391B7D">
              <w:rPr>
                <w:rFonts w:ascii="Batang" w:eastAsia="Batang" w:hAnsi="Batang"/>
                <w:sz w:val="16"/>
                <w:szCs w:val="16"/>
              </w:rPr>
              <w:t>, LA CEIBA TENEXCALCO</w:t>
            </w:r>
          </w:p>
        </w:tc>
        <w:tc>
          <w:tcPr>
            <w:tcW w:w="3969" w:type="dxa"/>
          </w:tcPr>
          <w:p w:rsidR="00F54A55" w:rsidRPr="007250ED" w:rsidRDefault="00F54A55" w:rsidP="00F54A55"/>
        </w:tc>
      </w:tr>
      <w:tr w:rsidR="00C05DE6" w:rsidRPr="007250ED" w:rsidTr="001526D3">
        <w:tc>
          <w:tcPr>
            <w:tcW w:w="1574" w:type="dxa"/>
            <w:gridSpan w:val="2"/>
          </w:tcPr>
          <w:p w:rsidR="00C05DE6" w:rsidRPr="007250ED" w:rsidRDefault="00C05DE6" w:rsidP="00F54A55">
            <w:pPr>
              <w:rPr>
                <w:rFonts w:ascii="Batang" w:eastAsia="Batang" w:hAnsi="Batang"/>
                <w:b/>
              </w:rPr>
            </w:pPr>
          </w:p>
        </w:tc>
        <w:tc>
          <w:tcPr>
            <w:tcW w:w="8774" w:type="dxa"/>
            <w:gridSpan w:val="5"/>
          </w:tcPr>
          <w:p w:rsidR="00C05DE6" w:rsidRPr="007250ED" w:rsidRDefault="00C05DE6" w:rsidP="00973A39">
            <w:pPr>
              <w:jc w:val="center"/>
            </w:pPr>
          </w:p>
        </w:tc>
      </w:tr>
      <w:tr w:rsidR="00F54A55" w:rsidRPr="007250ED" w:rsidTr="001526D3">
        <w:tc>
          <w:tcPr>
            <w:tcW w:w="1574" w:type="dxa"/>
            <w:gridSpan w:val="2"/>
          </w:tcPr>
          <w:p w:rsidR="00F54A55" w:rsidRPr="007250ED" w:rsidRDefault="00F54A55" w:rsidP="00F54A55">
            <w:pPr>
              <w:rPr>
                <w:rFonts w:ascii="Batang" w:eastAsia="Batang" w:hAnsi="Batang"/>
                <w:b/>
              </w:rPr>
            </w:pPr>
          </w:p>
        </w:tc>
        <w:tc>
          <w:tcPr>
            <w:tcW w:w="8774" w:type="dxa"/>
            <w:gridSpan w:val="5"/>
          </w:tcPr>
          <w:p w:rsidR="00F54A55" w:rsidRPr="007250ED" w:rsidRDefault="00F54A55" w:rsidP="00973A39">
            <w:pPr>
              <w:jc w:val="center"/>
            </w:pPr>
          </w:p>
        </w:tc>
      </w:tr>
      <w:tr w:rsidR="00814B37" w:rsidRPr="007250ED" w:rsidTr="00CD1C51">
        <w:trPr>
          <w:trHeight w:val="1656"/>
        </w:trPr>
        <w:tc>
          <w:tcPr>
            <w:tcW w:w="10348" w:type="dxa"/>
            <w:gridSpan w:val="7"/>
            <w:vAlign w:val="center"/>
          </w:tcPr>
          <w:p w:rsidR="00814B37" w:rsidRPr="007250ED" w:rsidRDefault="00814B37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814B37" w:rsidRPr="007250ED" w:rsidRDefault="00391B7D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Se trata de Masculino de 42</w:t>
            </w:r>
            <w:r w:rsidR="00814B37" w:rsidRPr="007250ED">
              <w:rPr>
                <w:rFonts w:ascii="Batang" w:eastAsia="Batang" w:hAnsi="Batang"/>
                <w:sz w:val="20"/>
                <w:szCs w:val="20"/>
              </w:rPr>
              <w:t xml:space="preserve"> años de edad, identificada con el número de folio del ce</w:t>
            </w:r>
            <w:r>
              <w:rPr>
                <w:rFonts w:ascii="Batang" w:eastAsia="Batang" w:hAnsi="Batang"/>
                <w:sz w:val="20"/>
                <w:szCs w:val="20"/>
              </w:rPr>
              <w:t>rtificado de defunción 150676329</w:t>
            </w:r>
            <w:r w:rsidR="00814B37" w:rsidRPr="007250ED">
              <w:rPr>
                <w:rFonts w:ascii="Batang" w:eastAsia="Batang" w:hAnsi="Batang"/>
                <w:sz w:val="20"/>
                <w:szCs w:val="20"/>
              </w:rPr>
              <w:t>,  c</w:t>
            </w:r>
            <w:r w:rsidR="00CD1C51">
              <w:rPr>
                <w:rFonts w:ascii="Batang" w:eastAsia="Batang" w:hAnsi="Batang"/>
                <w:sz w:val="20"/>
                <w:szCs w:val="20"/>
              </w:rPr>
              <w:t>on fecha de defunción 03 de Septiembre de 2015, el cual se encuentra certificado</w:t>
            </w:r>
            <w:r w:rsidR="00814B37" w:rsidRPr="007250ED">
              <w:rPr>
                <w:rFonts w:ascii="Batang" w:eastAsia="Batang" w:hAnsi="Batang"/>
                <w:sz w:val="20"/>
                <w:szCs w:val="20"/>
              </w:rPr>
              <w:t xml:space="preserve"> con  el siguiente diagnóstico </w:t>
            </w:r>
            <w:r w:rsidR="00CD1C51">
              <w:rPr>
                <w:rFonts w:ascii="Batang" w:eastAsia="Batang" w:hAnsi="Batang"/>
                <w:sz w:val="20"/>
                <w:szCs w:val="20"/>
              </w:rPr>
              <w:t>de interés nosológico “Tuberculosis Pulmonar”</w:t>
            </w:r>
            <w:r w:rsidR="00814B37" w:rsidRPr="007250ED">
              <w:rPr>
                <w:rFonts w:ascii="Batang" w:eastAsia="Batang" w:hAnsi="Batang"/>
                <w:sz w:val="20"/>
                <w:szCs w:val="20"/>
              </w:rPr>
              <w:t xml:space="preserve">, a su fallecimiento no se realizó necropsia. </w:t>
            </w:r>
          </w:p>
          <w:p w:rsidR="00814B37" w:rsidRPr="007250ED" w:rsidRDefault="00CD1C51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El</w:t>
            </w:r>
            <w:r w:rsidR="00814B37" w:rsidRPr="007250ED">
              <w:rPr>
                <w:rFonts w:ascii="Batang" w:eastAsia="Batang" w:hAnsi="Batang"/>
                <w:sz w:val="20"/>
                <w:szCs w:val="20"/>
              </w:rPr>
              <w:t xml:space="preserve"> paciente fallece en el mismo domicilio particular mencionado.</w:t>
            </w:r>
          </w:p>
          <w:p w:rsidR="00814B37" w:rsidRPr="007250ED" w:rsidRDefault="00814B37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4563FF" w:rsidRPr="007250ED" w:rsidTr="004563FF">
        <w:trPr>
          <w:trHeight w:val="392"/>
        </w:trPr>
        <w:tc>
          <w:tcPr>
            <w:tcW w:w="10348" w:type="dxa"/>
            <w:gridSpan w:val="7"/>
            <w:vAlign w:val="center"/>
          </w:tcPr>
          <w:p w:rsidR="004563FF" w:rsidRPr="004563FF" w:rsidRDefault="004563FF" w:rsidP="00C05DE6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4563FF">
              <w:rPr>
                <w:rFonts w:ascii="Batang" w:eastAsia="Batang" w:hAnsi="Batang"/>
                <w:b/>
                <w:sz w:val="20"/>
                <w:szCs w:val="20"/>
              </w:rPr>
              <w:t>ANTECEDENTES PERSONALES PATOLOGICOS</w:t>
            </w:r>
          </w:p>
        </w:tc>
      </w:tr>
      <w:tr w:rsidR="004563FF" w:rsidRPr="007250ED" w:rsidTr="004563FF">
        <w:trPr>
          <w:trHeight w:val="425"/>
        </w:trPr>
        <w:tc>
          <w:tcPr>
            <w:tcW w:w="10348" w:type="dxa"/>
            <w:gridSpan w:val="7"/>
            <w:vAlign w:val="center"/>
          </w:tcPr>
          <w:p w:rsidR="004563FF" w:rsidRPr="007250ED" w:rsidRDefault="004563FF" w:rsidP="00C05DE6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Un historial de alcoholismo de 20 años de edad, a base de cerveza, además de consumidor de marihuana desde los 15 años de edad.</w:t>
            </w:r>
            <w:r w:rsidRPr="004563FF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>Actualmente con tuberculosis pulmonar en T</w:t>
            </w:r>
            <w:r w:rsidR="00B62177" w:rsidRPr="004563FF">
              <w:rPr>
                <w:rFonts w:ascii="Batang" w:eastAsia="Batang" w:hAnsi="Batang"/>
                <w:sz w:val="20"/>
                <w:szCs w:val="20"/>
              </w:rPr>
              <w:t>aes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 xml:space="preserve">, </w:t>
            </w:r>
            <w:r w:rsidRPr="004563FF">
              <w:rPr>
                <w:rFonts w:ascii="Batang" w:eastAsia="Batang" w:hAnsi="Batang"/>
                <w:sz w:val="20"/>
                <w:szCs w:val="20"/>
              </w:rPr>
              <w:t xml:space="preserve">en fase intensiva, 3 tabletas de Dotbal, de lunes </w:t>
            </w:r>
            <w:r w:rsidR="00B62177" w:rsidRPr="004563FF">
              <w:rPr>
                <w:rFonts w:ascii="Batang" w:eastAsia="Batang" w:hAnsi="Batang"/>
                <w:sz w:val="20"/>
                <w:szCs w:val="20"/>
              </w:rPr>
              <w:t>a sábado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 xml:space="preserve">, el 21 de agosto </w:t>
            </w:r>
            <w:r w:rsidRPr="004563FF">
              <w:rPr>
                <w:rFonts w:ascii="Batang" w:eastAsia="Batang" w:hAnsi="Batang"/>
                <w:sz w:val="20"/>
                <w:szCs w:val="20"/>
              </w:rPr>
              <w:t xml:space="preserve">presenta náuseas y vómito, disnea, taquicardia, ictericia de conjuntivas </w:t>
            </w:r>
            <w:r w:rsidR="00B62177" w:rsidRPr="004563FF">
              <w:rPr>
                <w:rFonts w:ascii="Batang" w:eastAsia="Batang" w:hAnsi="Batang"/>
                <w:sz w:val="20"/>
                <w:szCs w:val="20"/>
              </w:rPr>
              <w:t>desde hace tres</w:t>
            </w:r>
            <w:r w:rsidRPr="004563FF">
              <w:rPr>
                <w:rFonts w:ascii="Batang" w:eastAsia="Batang" w:hAnsi="Batang"/>
                <w:sz w:val="20"/>
                <w:szCs w:val="20"/>
              </w:rPr>
              <w:t xml:space="preserve"> meses ya.</w:t>
            </w:r>
          </w:p>
        </w:tc>
      </w:tr>
      <w:tr w:rsidR="004563FF" w:rsidRPr="007250ED" w:rsidTr="004563FF">
        <w:trPr>
          <w:trHeight w:val="447"/>
        </w:trPr>
        <w:tc>
          <w:tcPr>
            <w:tcW w:w="10348" w:type="dxa"/>
            <w:gridSpan w:val="7"/>
            <w:vAlign w:val="center"/>
          </w:tcPr>
          <w:p w:rsidR="004563FF" w:rsidRPr="004563FF" w:rsidRDefault="004563FF" w:rsidP="00C05DE6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</w:tc>
      </w:tr>
      <w:tr w:rsidR="00474036" w:rsidRPr="007250ED" w:rsidTr="001526D3">
        <w:trPr>
          <w:trHeight w:val="298"/>
        </w:trPr>
        <w:tc>
          <w:tcPr>
            <w:tcW w:w="703" w:type="dxa"/>
          </w:tcPr>
          <w:p w:rsidR="00474036" w:rsidRPr="007250ED" w:rsidRDefault="00474036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</w:p>
          <w:p w:rsidR="00474036" w:rsidRPr="007250ED" w:rsidRDefault="00474036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  <w:r w:rsidRPr="007250ED">
              <w:rPr>
                <w:rFonts w:ascii="Batang" w:eastAsia="Batang" w:hAnsi="Batang" w:cs="Aharoni"/>
                <w:b/>
                <w:sz w:val="16"/>
                <w:szCs w:val="16"/>
              </w:rPr>
              <w:t>APP</w:t>
            </w:r>
          </w:p>
        </w:tc>
        <w:tc>
          <w:tcPr>
            <w:tcW w:w="9645" w:type="dxa"/>
            <w:gridSpan w:val="6"/>
            <w:vMerge w:val="restart"/>
            <w:vAlign w:val="center"/>
          </w:tcPr>
          <w:p w:rsidR="00474036" w:rsidRPr="007250ED" w:rsidRDefault="00A17016" w:rsidP="00E10383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7250ED">
              <w:rPr>
                <w:rFonts w:ascii="Batang" w:eastAsia="Batang" w:hAnsi="Batang"/>
                <w:sz w:val="20"/>
                <w:szCs w:val="20"/>
              </w:rPr>
              <w:t>Niega antecedentes de diabetes, hipertensión arterial sistémica</w:t>
            </w:r>
            <w:r w:rsidR="002B6E5B" w:rsidRPr="007250ED">
              <w:rPr>
                <w:rFonts w:ascii="Batang" w:eastAsia="Batang" w:hAnsi="Batang"/>
                <w:sz w:val="20"/>
                <w:szCs w:val="20"/>
              </w:rPr>
              <w:t xml:space="preserve">, fímicos, oncológicos, reumáticos, quirúrgicos, inmunológicos. Etc. </w:t>
            </w:r>
            <w:r w:rsidR="00E3197A" w:rsidRPr="007250ED">
              <w:rPr>
                <w:rFonts w:ascii="Batang" w:eastAsia="Batang" w:hAnsi="Batang"/>
                <w:sz w:val="20"/>
                <w:szCs w:val="20"/>
              </w:rPr>
              <w:t>.</w:t>
            </w:r>
          </w:p>
          <w:p w:rsidR="00474036" w:rsidRPr="007250ED" w:rsidRDefault="00474036" w:rsidP="0062187D">
            <w:pPr>
              <w:jc w:val="center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2B6E5B" w:rsidRPr="007250ED" w:rsidTr="001526D3">
        <w:trPr>
          <w:trHeight w:val="872"/>
        </w:trPr>
        <w:tc>
          <w:tcPr>
            <w:tcW w:w="703" w:type="dxa"/>
          </w:tcPr>
          <w:p w:rsidR="002B6E5B" w:rsidRPr="007250ED" w:rsidRDefault="002B6E5B" w:rsidP="0062187D">
            <w:pPr>
              <w:jc w:val="center"/>
              <w:rPr>
                <w:rFonts w:ascii="Batang" w:eastAsia="Batang" w:hAnsi="Batang" w:cs="Aharoni"/>
                <w:b/>
                <w:sz w:val="16"/>
                <w:szCs w:val="16"/>
              </w:rPr>
            </w:pPr>
          </w:p>
        </w:tc>
        <w:tc>
          <w:tcPr>
            <w:tcW w:w="9645" w:type="dxa"/>
            <w:gridSpan w:val="6"/>
            <w:vMerge/>
            <w:vAlign w:val="center"/>
          </w:tcPr>
          <w:p w:rsidR="002B6E5B" w:rsidRPr="007250ED" w:rsidRDefault="002B6E5B" w:rsidP="00E10383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62187D" w:rsidRPr="007250ED" w:rsidTr="001526D3">
        <w:trPr>
          <w:trHeight w:val="94"/>
        </w:trPr>
        <w:tc>
          <w:tcPr>
            <w:tcW w:w="10348" w:type="dxa"/>
            <w:gridSpan w:val="7"/>
          </w:tcPr>
          <w:p w:rsidR="0062187D" w:rsidRPr="007250ED" w:rsidRDefault="0062187D" w:rsidP="009C176D">
            <w:pPr>
              <w:rPr>
                <w:rFonts w:ascii="Batang" w:eastAsia="Batang" w:hAnsi="Batang"/>
                <w:b/>
                <w:sz w:val="10"/>
                <w:szCs w:val="10"/>
              </w:rPr>
            </w:pPr>
          </w:p>
        </w:tc>
      </w:tr>
      <w:tr w:rsidR="0062187D" w:rsidRPr="007250ED" w:rsidTr="001526D3">
        <w:trPr>
          <w:trHeight w:val="94"/>
        </w:trPr>
        <w:tc>
          <w:tcPr>
            <w:tcW w:w="10348" w:type="dxa"/>
            <w:gridSpan w:val="7"/>
          </w:tcPr>
          <w:p w:rsidR="0062187D" w:rsidRPr="007C6172" w:rsidRDefault="0062187D" w:rsidP="0062187D">
            <w:pPr>
              <w:jc w:val="center"/>
              <w:rPr>
                <w:rFonts w:eastAsia="Batang"/>
                <w:b/>
              </w:rPr>
            </w:pPr>
            <w:r w:rsidRPr="007C6172">
              <w:rPr>
                <w:rFonts w:eastAsia="Batang"/>
                <w:b/>
              </w:rPr>
              <w:t>RESUMEN CLÍNICO</w:t>
            </w:r>
          </w:p>
        </w:tc>
      </w:tr>
      <w:tr w:rsidR="002B6E5B" w:rsidRPr="007250ED" w:rsidTr="001526D3">
        <w:trPr>
          <w:trHeight w:val="55"/>
        </w:trPr>
        <w:tc>
          <w:tcPr>
            <w:tcW w:w="10348" w:type="dxa"/>
            <w:gridSpan w:val="7"/>
          </w:tcPr>
          <w:p w:rsidR="002B6E5B" w:rsidRPr="007250ED" w:rsidRDefault="002B6E5B" w:rsidP="0062187D">
            <w:pPr>
              <w:jc w:val="center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1526D3">
        <w:trPr>
          <w:trHeight w:val="55"/>
        </w:trPr>
        <w:tc>
          <w:tcPr>
            <w:tcW w:w="10348" w:type="dxa"/>
            <w:gridSpan w:val="7"/>
          </w:tcPr>
          <w:p w:rsidR="004478C2" w:rsidRDefault="004478C2" w:rsidP="004478C2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7250ED">
              <w:rPr>
                <w:rFonts w:ascii="Batang" w:eastAsia="Batang" w:hAnsi="Batang"/>
                <w:sz w:val="20"/>
                <w:szCs w:val="20"/>
              </w:rPr>
              <w:t xml:space="preserve">De acuerdo al </w:t>
            </w:r>
            <w:r>
              <w:rPr>
                <w:rFonts w:ascii="Batang" w:eastAsia="Batang" w:hAnsi="Batang"/>
                <w:sz w:val="20"/>
                <w:szCs w:val="20"/>
              </w:rPr>
              <w:t>expediente clínico, durante</w:t>
            </w:r>
            <w:r w:rsidRPr="007250ED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el </w:t>
            </w:r>
            <w:r w:rsidRPr="007250ED">
              <w:rPr>
                <w:rFonts w:ascii="Batang" w:eastAsia="Batang" w:hAnsi="Batang"/>
                <w:sz w:val="20"/>
                <w:szCs w:val="20"/>
              </w:rPr>
              <w:t>análisis de la información proporcionada por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la  epidemióloga jurisdiccional de Zacatipan, el paciente se identificó como caso índice el 23 de mayo de  2015 con Baar</w:t>
            </w:r>
            <w:r w:rsidR="00317A5A">
              <w:rPr>
                <w:rFonts w:ascii="Batang" w:eastAsia="Batang" w:hAnsi="Batang"/>
                <w:sz w:val="20"/>
                <w:szCs w:val="20"/>
              </w:rPr>
              <w:t xml:space="preserve"> Positivo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 xml:space="preserve">a </w:t>
            </w:r>
            <w:r>
              <w:rPr>
                <w:rFonts w:ascii="Batang" w:eastAsia="Batang" w:hAnsi="Batang"/>
                <w:sz w:val="20"/>
                <w:szCs w:val="20"/>
              </w:rPr>
              <w:t>tuberculosis  pulmonar, ingresándose a plataforma nacional de tuberculosis, identificándose con número de folio 509997, quien corresponde en su momento a la unidad tratante, la Ceiba Tenexcalco, por lo que  se inicia  el Taes el día 22 de junio de  2015, finalizando la fase intensiva  el día 29 agosto de  2015.</w:t>
            </w:r>
          </w:p>
          <w:p w:rsidR="004478C2" w:rsidRPr="007250ED" w:rsidRDefault="004478C2" w:rsidP="0062187D">
            <w:pPr>
              <w:jc w:val="center"/>
              <w:rPr>
                <w:rFonts w:ascii="Bauhaus 93" w:eastAsia="Batang" w:hAnsi="Bauhaus 93"/>
                <w:sz w:val="10"/>
                <w:szCs w:val="10"/>
              </w:rPr>
            </w:pPr>
          </w:p>
        </w:tc>
      </w:tr>
      <w:tr w:rsidR="004478C2" w:rsidRPr="007250ED" w:rsidTr="001526D3">
        <w:trPr>
          <w:trHeight w:val="55"/>
        </w:trPr>
        <w:tc>
          <w:tcPr>
            <w:tcW w:w="10348" w:type="dxa"/>
            <w:gridSpan w:val="7"/>
          </w:tcPr>
          <w:p w:rsidR="004478C2" w:rsidRPr="004478C2" w:rsidRDefault="004478C2" w:rsidP="004478C2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INGRESO HOSPITALARIO</w:t>
            </w:r>
          </w:p>
        </w:tc>
      </w:tr>
      <w:tr w:rsidR="004478C2" w:rsidRPr="007250ED" w:rsidTr="004478C2">
        <w:trPr>
          <w:trHeight w:val="1784"/>
        </w:trPr>
        <w:tc>
          <w:tcPr>
            <w:tcW w:w="10348" w:type="dxa"/>
            <w:gridSpan w:val="7"/>
          </w:tcPr>
          <w:p w:rsidR="004478C2" w:rsidRPr="004478C2" w:rsidRDefault="004478C2" w:rsidP="00B62177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4478C2">
              <w:rPr>
                <w:rFonts w:ascii="Batang" w:eastAsia="Batang" w:hAnsi="Batang"/>
                <w:sz w:val="20"/>
                <w:szCs w:val="20"/>
                <w:u w:val="single"/>
              </w:rPr>
              <w:t>C</w:t>
            </w:r>
            <w:r w:rsidRPr="004478C2">
              <w:rPr>
                <w:rFonts w:ascii="Batang" w:eastAsia="Batang" w:hAnsi="Batang"/>
                <w:sz w:val="20"/>
                <w:szCs w:val="20"/>
              </w:rPr>
              <w:t xml:space="preserve">on fecha del 21 de Agosto el paciente acude al Hospital de Axtla de Terrazas, ingresa con DX de  síndrome 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 xml:space="preserve">consuntivo más  adenopatía  en </w:t>
            </w:r>
            <w:r w:rsidRPr="004478C2">
              <w:rPr>
                <w:rFonts w:ascii="Batang" w:eastAsia="Batang" w:hAnsi="Batang"/>
                <w:sz w:val="20"/>
                <w:szCs w:val="20"/>
              </w:rPr>
              <w:t xml:space="preserve"> est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 xml:space="preserve">udio, ingresa con sintomatología previamente a </w:t>
            </w:r>
            <w:r w:rsidRPr="004478C2">
              <w:rPr>
                <w:rFonts w:ascii="Batang" w:eastAsia="Batang" w:hAnsi="Batang"/>
                <w:sz w:val="20"/>
                <w:szCs w:val="20"/>
              </w:rPr>
              <w:t>insuficiencia respiratoria aguda, manejada como neumonía, tratado en su momento con doble esquema de antibióticos (ceftriaxona y claritromicina), con hallazgo de transabinemia de predominio directo, considerándose como toxicidad a antifimicos, mismos que fueron suspendidos desde su ingreso al Hospital, persistiendo con elevación y de falla hepática aguda.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</w:t>
            </w:r>
          </w:p>
        </w:tc>
      </w:tr>
      <w:tr w:rsidR="004478C2" w:rsidRPr="007250ED" w:rsidTr="001526D3">
        <w:trPr>
          <w:trHeight w:val="55"/>
        </w:trPr>
        <w:tc>
          <w:tcPr>
            <w:tcW w:w="10348" w:type="dxa"/>
            <w:gridSpan w:val="7"/>
          </w:tcPr>
          <w:p w:rsidR="004478C2" w:rsidRPr="004478C2" w:rsidRDefault="004478C2" w:rsidP="004478C2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>EXPLORACIÓN FISICA</w:t>
            </w:r>
          </w:p>
        </w:tc>
      </w:tr>
      <w:tr w:rsidR="004478C2" w:rsidRPr="007250ED" w:rsidTr="001526D3">
        <w:trPr>
          <w:trHeight w:val="55"/>
        </w:trPr>
        <w:tc>
          <w:tcPr>
            <w:tcW w:w="10348" w:type="dxa"/>
            <w:gridSpan w:val="7"/>
          </w:tcPr>
          <w:p w:rsidR="004478C2" w:rsidRDefault="004478C2" w:rsidP="004478C2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4478C2">
              <w:rPr>
                <w:rFonts w:ascii="Batang" w:eastAsia="Batang" w:hAnsi="Batang"/>
                <w:sz w:val="20"/>
                <w:szCs w:val="20"/>
              </w:rPr>
              <w:t>Se encuentra ictérico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desde hace tres meses de evolución,</w:t>
            </w:r>
            <w:r w:rsidRPr="004478C2">
              <w:rPr>
                <w:rFonts w:ascii="Batang" w:eastAsia="Batang" w:hAnsi="Batang"/>
                <w:sz w:val="20"/>
                <w:szCs w:val="20"/>
              </w:rPr>
              <w:t xml:space="preserve"> alteración de la vigilia, adenopatías bilaterales mayores de 3 cms, no dolorosas</w:t>
            </w:r>
            <w:r>
              <w:rPr>
                <w:rFonts w:ascii="Batang" w:eastAsia="Batang" w:hAnsi="Batang"/>
                <w:sz w:val="20"/>
                <w:szCs w:val="20"/>
              </w:rPr>
              <w:t>.</w:t>
            </w:r>
          </w:p>
          <w:p w:rsidR="004478C2" w:rsidRDefault="004478C2" w:rsidP="004563F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A la interconsulta por parte del </w:t>
            </w:r>
            <w:r w:rsidR="007E0219">
              <w:rPr>
                <w:rFonts w:ascii="Batang" w:eastAsia="Batang" w:hAnsi="Batang"/>
                <w:sz w:val="20"/>
                <w:szCs w:val="20"/>
              </w:rPr>
              <w:t>servicio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de medicina interna del HRP</w:t>
            </w:r>
            <w:r w:rsidR="007E0219">
              <w:rPr>
                <w:rFonts w:ascii="Batang" w:eastAsia="Batang" w:hAnsi="Batang"/>
                <w:sz w:val="20"/>
                <w:szCs w:val="20"/>
              </w:rPr>
              <w:t xml:space="preserve"> ingresa con saturación de 70%, T/A: 80/50, FC 95, FR: 30, Temperatura: 38.3, se manejó con soluciones </w:t>
            </w:r>
            <w:r w:rsidR="00C46866">
              <w:rPr>
                <w:rFonts w:ascii="Batang" w:eastAsia="Batang" w:hAnsi="Batang"/>
                <w:sz w:val="20"/>
                <w:szCs w:val="20"/>
              </w:rPr>
              <w:t>para enterales</w:t>
            </w:r>
            <w:r w:rsidR="007E0219">
              <w:rPr>
                <w:rFonts w:ascii="Batang" w:eastAsia="Batang" w:hAnsi="Batang"/>
                <w:sz w:val="20"/>
                <w:szCs w:val="20"/>
              </w:rPr>
              <w:t xml:space="preserve">, oxigeno por puntas nasales, micro </w:t>
            </w:r>
            <w:r w:rsidR="00C46866">
              <w:rPr>
                <w:rFonts w:ascii="Batang" w:eastAsia="Batang" w:hAnsi="Batang"/>
                <w:sz w:val="20"/>
                <w:szCs w:val="20"/>
              </w:rPr>
              <w:t>nebulizaciones,</w:t>
            </w:r>
            <w:r w:rsidR="007E0219">
              <w:rPr>
                <w:rFonts w:ascii="Batang" w:eastAsia="Batang" w:hAnsi="Batang"/>
                <w:sz w:val="20"/>
                <w:szCs w:val="20"/>
              </w:rPr>
              <w:t xml:space="preserve"> a la exploración: se encuentra despierto, consciente con escala de Glasgow de 15 puntos conjuntivas oculares </w:t>
            </w:r>
            <w:r w:rsidR="00C46866">
              <w:rPr>
                <w:rFonts w:ascii="Batang" w:eastAsia="Batang" w:hAnsi="Batang"/>
                <w:sz w:val="20"/>
                <w:szCs w:val="20"/>
              </w:rPr>
              <w:t>ictéricas</w:t>
            </w:r>
            <w:r w:rsidR="007E0219">
              <w:rPr>
                <w:rFonts w:ascii="Batang" w:eastAsia="Batang" w:hAnsi="Batang"/>
                <w:sz w:val="20"/>
                <w:szCs w:val="20"/>
              </w:rPr>
              <w:t>, palidez de mucosas</w:t>
            </w:r>
            <w:r w:rsidR="007706F3">
              <w:rPr>
                <w:rFonts w:ascii="Batang" w:eastAsia="Batang" w:hAnsi="Batang"/>
                <w:sz w:val="20"/>
                <w:szCs w:val="20"/>
              </w:rPr>
              <w:t xml:space="preserve">, Cuello con tráquea central, adenopatía </w:t>
            </w:r>
            <w:r w:rsidR="007706F3">
              <w:rPr>
                <w:rFonts w:ascii="Batang" w:eastAsia="Batang" w:hAnsi="Batang"/>
                <w:sz w:val="20"/>
                <w:szCs w:val="20"/>
              </w:rPr>
              <w:lastRenderedPageBreak/>
              <w:t>cervical a  planos profundos, no movibles, de bordes irregulares, de  aproximadamente de 6x6 cms., y de 6x8 cms., precordio rítmico, dinámico sin agregados, campos pulmonares con estertores crepitantes bilaterales basales, ab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 xml:space="preserve">domen depresible, sin agregados, </w:t>
            </w:r>
            <w:r w:rsidR="007706F3">
              <w:rPr>
                <w:rFonts w:ascii="Batang" w:eastAsia="Batang" w:hAnsi="Batang"/>
                <w:sz w:val="20"/>
                <w:szCs w:val="20"/>
              </w:rPr>
              <w:t>con resistencia muscular voluntaria, pero sin datos de irritación peritoneal.</w:t>
            </w:r>
          </w:p>
          <w:p w:rsidR="003248E7" w:rsidRDefault="003248E7" w:rsidP="004563F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7706F3" w:rsidRDefault="007706F3" w:rsidP="004563FF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3248E7">
              <w:rPr>
                <w:rFonts w:ascii="Batang" w:eastAsia="Batang" w:hAnsi="Batang"/>
                <w:b/>
                <w:sz w:val="20"/>
                <w:szCs w:val="20"/>
              </w:rPr>
              <w:t>LABORATORIALES</w:t>
            </w:r>
          </w:p>
          <w:p w:rsidR="00B62177" w:rsidRPr="003248E7" w:rsidRDefault="00B62177" w:rsidP="004563FF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7706F3" w:rsidRDefault="007706F3" w:rsidP="004563F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BH. Leucos 15 mil, linfocitos: 0.9, neutrof: 13.1 hb. 12, hto: 33.9, plaquetas: 278 mil, cuenta con</w:t>
            </w:r>
            <w:r w:rsidR="003248E7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el siguiente 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>diagnóstico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consuntivo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 xml:space="preserve"> Tb. Pulmonar en tratamiento, adenopatías en estudio, pfh: 327, TGO 317, DHL: 549,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>FA: 463.6, BD:</w:t>
            </w:r>
            <w:r w:rsidR="008826C0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 xml:space="preserve">5.77, di: 151. Bt: 7.3, emitidos del 23 agosto </w:t>
            </w:r>
            <w:r w:rsidR="003248E7">
              <w:rPr>
                <w:rFonts w:ascii="Batang" w:eastAsia="Batang" w:hAnsi="Batang"/>
                <w:sz w:val="20"/>
                <w:szCs w:val="20"/>
              </w:rPr>
              <w:t>de 2015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>, se ubica elevación</w:t>
            </w:r>
            <w:r w:rsidR="003248E7">
              <w:rPr>
                <w:rFonts w:ascii="Batang" w:eastAsia="Batang" w:hAnsi="Batang"/>
                <w:sz w:val="20"/>
                <w:szCs w:val="20"/>
              </w:rPr>
              <w:t xml:space="preserve"> 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 xml:space="preserve">de las transaminasas y bilirrubina, considerándose hepatotoxidad por antifimicos, a la realización de ultrasonido </w:t>
            </w:r>
            <w:r w:rsidR="008826C0">
              <w:rPr>
                <w:rFonts w:ascii="Batang" w:eastAsia="Batang" w:hAnsi="Batang"/>
                <w:sz w:val="20"/>
                <w:szCs w:val="20"/>
              </w:rPr>
              <w:t>de abdomen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 xml:space="preserve">: sin datos </w:t>
            </w:r>
            <w:r w:rsidR="008826C0">
              <w:rPr>
                <w:rFonts w:ascii="Batang" w:eastAsia="Batang" w:hAnsi="Batang"/>
                <w:sz w:val="20"/>
                <w:szCs w:val="20"/>
              </w:rPr>
              <w:t>patológicos a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 xml:space="preserve"> excepción </w:t>
            </w:r>
            <w:r w:rsidR="008826C0">
              <w:rPr>
                <w:rFonts w:ascii="Batang" w:eastAsia="Batang" w:hAnsi="Batang"/>
                <w:sz w:val="20"/>
                <w:szCs w:val="20"/>
              </w:rPr>
              <w:t>de adenopatías retroperitoneales</w:t>
            </w:r>
            <w:r w:rsidR="00132768">
              <w:rPr>
                <w:rFonts w:ascii="Batang" w:eastAsia="Batang" w:hAnsi="Batang"/>
                <w:sz w:val="20"/>
                <w:szCs w:val="20"/>
              </w:rPr>
              <w:t xml:space="preserve"> de 17ª 19 cms., hígado y riñones normales.</w:t>
            </w:r>
          </w:p>
          <w:p w:rsidR="00132768" w:rsidRDefault="00132768" w:rsidP="004563F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132768" w:rsidRDefault="00132768" w:rsidP="004563FF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  <w:r w:rsidRPr="00BC5551">
              <w:rPr>
                <w:rFonts w:ascii="Batang" w:eastAsia="Batang" w:hAnsi="Batang"/>
                <w:b/>
                <w:sz w:val="20"/>
                <w:szCs w:val="20"/>
              </w:rPr>
              <w:t>RADIOGRAFIA:</w:t>
            </w:r>
          </w:p>
          <w:p w:rsidR="008826C0" w:rsidRPr="008826C0" w:rsidRDefault="008826C0" w:rsidP="004563FF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b/>
                <w:sz w:val="20"/>
                <w:szCs w:val="20"/>
              </w:rPr>
              <w:t xml:space="preserve"> </w:t>
            </w:r>
            <w:r w:rsidRPr="008826C0">
              <w:rPr>
                <w:rFonts w:ascii="Batang" w:eastAsia="Batang" w:hAnsi="Batang"/>
                <w:sz w:val="20"/>
                <w:szCs w:val="20"/>
              </w:rPr>
              <w:t xml:space="preserve">A nivel pulmonar con presencia de fibrosis apical izquierda, además de borramiento del ángulo </w:t>
            </w:r>
            <w:r>
              <w:rPr>
                <w:rFonts w:ascii="Batang" w:eastAsia="Batang" w:hAnsi="Batang"/>
                <w:sz w:val="20"/>
                <w:szCs w:val="20"/>
              </w:rPr>
              <w:t>custo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>-</w:t>
            </w:r>
            <w:r>
              <w:rPr>
                <w:rFonts w:ascii="Batang" w:eastAsia="Batang" w:hAnsi="Batang"/>
                <w:sz w:val="20"/>
                <w:szCs w:val="20"/>
              </w:rPr>
              <w:t>dia-</w:t>
            </w:r>
            <w:r w:rsidRPr="008826C0">
              <w:rPr>
                <w:rFonts w:ascii="Batang" w:eastAsia="Batang" w:hAnsi="Batang"/>
                <w:sz w:val="20"/>
                <w:szCs w:val="20"/>
              </w:rPr>
              <w:t>fragmatico izquierdo.</w:t>
            </w:r>
          </w:p>
          <w:p w:rsidR="008826C0" w:rsidRPr="00BC5551" w:rsidRDefault="008826C0" w:rsidP="004563FF">
            <w:pPr>
              <w:jc w:val="both"/>
              <w:rPr>
                <w:rFonts w:ascii="Batang" w:eastAsia="Batang" w:hAnsi="Batang"/>
                <w:b/>
                <w:sz w:val="20"/>
                <w:szCs w:val="20"/>
              </w:rPr>
            </w:pPr>
          </w:p>
          <w:p w:rsidR="00132768" w:rsidRDefault="00132768" w:rsidP="0013276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El paciente es trasladado sin </w:t>
            </w:r>
            <w:r w:rsidR="00BC5551">
              <w:rPr>
                <w:rFonts w:ascii="Batang" w:eastAsia="Batang" w:hAnsi="Batang"/>
                <w:sz w:val="20"/>
                <w:szCs w:val="20"/>
              </w:rPr>
              <w:t>oxígeno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o insuficiencia respiratoria del Hospital de </w:t>
            </w:r>
            <w:r w:rsidR="00BC5551">
              <w:rPr>
                <w:rFonts w:ascii="Batang" w:eastAsia="Batang" w:hAnsi="Batang"/>
                <w:sz w:val="20"/>
                <w:szCs w:val="20"/>
              </w:rPr>
              <w:t>Axtla a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 CD: Valles con el diagnóstico de insuficiencia hepática </w:t>
            </w:r>
            <w:r w:rsidR="00BC5551">
              <w:rPr>
                <w:rFonts w:ascii="Batang" w:eastAsia="Batang" w:hAnsi="Batang"/>
                <w:sz w:val="20"/>
                <w:szCs w:val="20"/>
              </w:rPr>
              <w:t>más TB</w:t>
            </w:r>
            <w:r>
              <w:rPr>
                <w:rFonts w:ascii="Batang" w:eastAsia="Batang" w:hAnsi="Batang"/>
                <w:sz w:val="20"/>
                <w:szCs w:val="20"/>
              </w:rPr>
              <w:t xml:space="preserve">: Pulmonar con fecha el día 24 de agosto 2015.  </w:t>
            </w:r>
          </w:p>
          <w:p w:rsidR="00B62177" w:rsidRDefault="00B62177" w:rsidP="0013276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  <w:p w:rsidR="008826C0" w:rsidRDefault="00B62177" w:rsidP="0013276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 xml:space="preserve">Se refiere con los </w:t>
            </w:r>
            <w:r w:rsidR="006D2F88">
              <w:rPr>
                <w:rFonts w:ascii="Batang" w:eastAsia="Batang" w:hAnsi="Batang"/>
                <w:sz w:val="20"/>
                <w:szCs w:val="20"/>
              </w:rPr>
              <w:t>siguientes laboratoriales</w:t>
            </w:r>
            <w:bookmarkStart w:id="0" w:name="_GoBack"/>
            <w:bookmarkEnd w:id="0"/>
            <w:r w:rsidR="008826C0">
              <w:rPr>
                <w:rFonts w:ascii="Batang" w:eastAsia="Batang" w:hAnsi="Batang"/>
                <w:sz w:val="20"/>
                <w:szCs w:val="20"/>
              </w:rPr>
              <w:t xml:space="preserve">: creatinina 1.0, bun 31, col 75, trig 165, alb 1.4, asp 357, dhl. 532, fa: 405, BT. 7.5, BD 5.96, b1: 1.51, serología para </w:t>
            </w:r>
            <w:r w:rsidR="006C4090">
              <w:rPr>
                <w:rFonts w:ascii="Batang" w:eastAsia="Batang" w:hAnsi="Batang"/>
                <w:sz w:val="20"/>
                <w:szCs w:val="20"/>
              </w:rPr>
              <w:t>VIH Y VDRL</w:t>
            </w:r>
            <w:r w:rsidR="008826C0">
              <w:rPr>
                <w:rFonts w:ascii="Batang" w:eastAsia="Batang" w:hAnsi="Batang"/>
                <w:sz w:val="20"/>
                <w:szCs w:val="20"/>
              </w:rPr>
              <w:t xml:space="preserve">: negativos., se envía con fluídoterapia, doble esquema de antibióticos, además de protector gástrico, </w:t>
            </w:r>
            <w:r w:rsidR="006C4090">
              <w:rPr>
                <w:rFonts w:ascii="Batang" w:eastAsia="Batang" w:hAnsi="Batang"/>
                <w:sz w:val="20"/>
                <w:szCs w:val="20"/>
              </w:rPr>
              <w:t>se envía</w:t>
            </w:r>
            <w:r w:rsidR="008826C0">
              <w:rPr>
                <w:rFonts w:ascii="Batang" w:eastAsia="Batang" w:hAnsi="Batang"/>
                <w:sz w:val="20"/>
                <w:szCs w:val="20"/>
              </w:rPr>
              <w:t xml:space="preserve"> para ratificar los </w:t>
            </w:r>
            <w:r w:rsidR="006C4090">
              <w:rPr>
                <w:rFonts w:ascii="Batang" w:eastAsia="Batang" w:hAnsi="Batang"/>
                <w:sz w:val="20"/>
                <w:szCs w:val="20"/>
              </w:rPr>
              <w:t>diagnósticos</w:t>
            </w:r>
            <w:r w:rsidR="008826C0">
              <w:rPr>
                <w:rFonts w:ascii="Batang" w:eastAsia="Batang" w:hAnsi="Batang"/>
                <w:sz w:val="20"/>
                <w:szCs w:val="20"/>
              </w:rPr>
              <w:t xml:space="preserve"> de lin</w:t>
            </w:r>
            <w:r w:rsidR="006C4090">
              <w:rPr>
                <w:rFonts w:ascii="Batang" w:eastAsia="Batang" w:hAnsi="Batang"/>
                <w:sz w:val="20"/>
                <w:szCs w:val="20"/>
              </w:rPr>
              <w:t xml:space="preserve">foma ó tuberculosis ganglionar </w:t>
            </w:r>
          </w:p>
          <w:p w:rsidR="008826C0" w:rsidRPr="004478C2" w:rsidRDefault="008826C0" w:rsidP="00132768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62187D" w:rsidRPr="007250ED" w:rsidTr="001526D3">
        <w:trPr>
          <w:trHeight w:val="94"/>
        </w:trPr>
        <w:tc>
          <w:tcPr>
            <w:tcW w:w="10348" w:type="dxa"/>
            <w:gridSpan w:val="7"/>
            <w:vAlign w:val="center"/>
          </w:tcPr>
          <w:p w:rsidR="0062187D" w:rsidRDefault="0062187D" w:rsidP="0062187D">
            <w:pPr>
              <w:jc w:val="center"/>
              <w:rPr>
                <w:rFonts w:ascii="Bauhaus 93" w:eastAsia="Batang" w:hAnsi="Bauhaus 93"/>
                <w:sz w:val="18"/>
                <w:szCs w:val="14"/>
              </w:rPr>
            </w:pPr>
          </w:p>
          <w:p w:rsidR="006C4090" w:rsidRPr="007250ED" w:rsidRDefault="006C4090" w:rsidP="0062187D">
            <w:pPr>
              <w:jc w:val="center"/>
              <w:rPr>
                <w:rFonts w:ascii="Bauhaus 93" w:eastAsia="Batang" w:hAnsi="Bauhaus 93"/>
                <w:sz w:val="18"/>
                <w:szCs w:val="14"/>
              </w:rPr>
            </w:pPr>
          </w:p>
        </w:tc>
      </w:tr>
      <w:tr w:rsidR="00BD39B5" w:rsidTr="001526D3">
        <w:trPr>
          <w:trHeight w:val="94"/>
        </w:trPr>
        <w:tc>
          <w:tcPr>
            <w:tcW w:w="10348" w:type="dxa"/>
            <w:gridSpan w:val="7"/>
            <w:vAlign w:val="center"/>
          </w:tcPr>
          <w:p w:rsidR="00BD39B5" w:rsidRDefault="00BD39B5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 w:rsidRPr="007250ED">
              <w:rPr>
                <w:rFonts w:ascii="Batang" w:eastAsia="Batang" w:hAnsi="Batang"/>
                <w:sz w:val="20"/>
                <w:szCs w:val="20"/>
              </w:rPr>
              <w:t>FINALES:</w:t>
            </w:r>
            <w:r w:rsidR="006C4090">
              <w:rPr>
                <w:rFonts w:ascii="Batang" w:eastAsia="Batang" w:hAnsi="Batang"/>
                <w:sz w:val="20"/>
                <w:szCs w:val="20"/>
              </w:rPr>
              <w:t xml:space="preserve"> DIAGNSOTICOS. </w:t>
            </w:r>
            <w:r w:rsidR="00B62177">
              <w:rPr>
                <w:rFonts w:ascii="Batang" w:eastAsia="Batang" w:hAnsi="Batang"/>
                <w:sz w:val="20"/>
                <w:szCs w:val="20"/>
              </w:rPr>
              <w:t xml:space="preserve">Se concluye que el paciente fallece en su lugar de origen, con los diagnosticos de: </w:t>
            </w:r>
          </w:p>
        </w:tc>
      </w:tr>
      <w:tr w:rsidR="00B62177" w:rsidTr="000266B1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1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AF18AC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626B0E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Insuficiencia renal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B2744E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626B0E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Insuficiencia hepática antifimica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B2744E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626B0E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Neumonía adquirida en la comunidad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B2744E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Pr="00626B0E" w:rsidRDefault="00B62177" w:rsidP="00626B0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B2744E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Parte  II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  <w:tr w:rsidR="00B62177" w:rsidTr="00B2744E">
        <w:trPr>
          <w:trHeight w:val="94"/>
        </w:trPr>
        <w:tc>
          <w:tcPr>
            <w:tcW w:w="5174" w:type="dxa"/>
            <w:gridSpan w:val="5"/>
            <w:vAlign w:val="center"/>
          </w:tcPr>
          <w:p w:rsidR="00B62177" w:rsidRDefault="00626B0E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  <w:r>
              <w:rPr>
                <w:rFonts w:ascii="Batang" w:eastAsia="Batang" w:hAnsi="Batang"/>
                <w:sz w:val="20"/>
                <w:szCs w:val="20"/>
              </w:rPr>
              <w:t>Tuberculosis pulmonar en tratamiento</w:t>
            </w:r>
          </w:p>
        </w:tc>
        <w:tc>
          <w:tcPr>
            <w:tcW w:w="5174" w:type="dxa"/>
            <w:gridSpan w:val="2"/>
            <w:vAlign w:val="center"/>
          </w:tcPr>
          <w:p w:rsidR="00B62177" w:rsidRPr="007250ED" w:rsidRDefault="00B62177" w:rsidP="00B62177">
            <w:pPr>
              <w:jc w:val="both"/>
              <w:rPr>
                <w:rFonts w:ascii="Batang" w:eastAsia="Batang" w:hAnsi="Batang"/>
                <w:sz w:val="20"/>
                <w:szCs w:val="20"/>
              </w:rPr>
            </w:pPr>
          </w:p>
        </w:tc>
      </w:tr>
    </w:tbl>
    <w:p w:rsidR="00973A39" w:rsidRDefault="00973A39" w:rsidP="00442EAF"/>
    <w:sectPr w:rsidR="00973A39" w:rsidSect="00314FB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4C4" w:rsidRDefault="001E44C4" w:rsidP="00314FBB">
      <w:pPr>
        <w:spacing w:after="0" w:line="240" w:lineRule="auto"/>
      </w:pPr>
      <w:r>
        <w:separator/>
      </w:r>
    </w:p>
  </w:endnote>
  <w:endnote w:type="continuationSeparator" w:id="0">
    <w:p w:rsidR="001E44C4" w:rsidRDefault="001E44C4" w:rsidP="0031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4C4" w:rsidRDefault="001E44C4" w:rsidP="00314FBB">
      <w:pPr>
        <w:spacing w:after="0" w:line="240" w:lineRule="auto"/>
      </w:pPr>
      <w:r>
        <w:separator/>
      </w:r>
    </w:p>
  </w:footnote>
  <w:footnote w:type="continuationSeparator" w:id="0">
    <w:p w:rsidR="001E44C4" w:rsidRDefault="001E44C4" w:rsidP="0031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E6D93"/>
    <w:multiLevelType w:val="hybridMultilevel"/>
    <w:tmpl w:val="899484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633ED"/>
    <w:multiLevelType w:val="hybridMultilevel"/>
    <w:tmpl w:val="865CE1E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39"/>
    <w:rsid w:val="00023CCB"/>
    <w:rsid w:val="00030789"/>
    <w:rsid w:val="00067A7C"/>
    <w:rsid w:val="000E6738"/>
    <w:rsid w:val="000E7AEE"/>
    <w:rsid w:val="00132768"/>
    <w:rsid w:val="001526D3"/>
    <w:rsid w:val="00156AE7"/>
    <w:rsid w:val="001E44C4"/>
    <w:rsid w:val="00247A42"/>
    <w:rsid w:val="002B5869"/>
    <w:rsid w:val="002B6E5B"/>
    <w:rsid w:val="00314FBB"/>
    <w:rsid w:val="00317A5A"/>
    <w:rsid w:val="003248E7"/>
    <w:rsid w:val="00331059"/>
    <w:rsid w:val="00391B7D"/>
    <w:rsid w:val="003C665F"/>
    <w:rsid w:val="00405F24"/>
    <w:rsid w:val="00442EAF"/>
    <w:rsid w:val="004478C2"/>
    <w:rsid w:val="004563FF"/>
    <w:rsid w:val="00474036"/>
    <w:rsid w:val="00484B12"/>
    <w:rsid w:val="004A061D"/>
    <w:rsid w:val="004D2F40"/>
    <w:rsid w:val="0054391D"/>
    <w:rsid w:val="0062187D"/>
    <w:rsid w:val="00626B0E"/>
    <w:rsid w:val="006561BE"/>
    <w:rsid w:val="0069775A"/>
    <w:rsid w:val="006C4090"/>
    <w:rsid w:val="006D2F88"/>
    <w:rsid w:val="007250ED"/>
    <w:rsid w:val="007543F4"/>
    <w:rsid w:val="007706F3"/>
    <w:rsid w:val="00790ECE"/>
    <w:rsid w:val="007C6172"/>
    <w:rsid w:val="007E0219"/>
    <w:rsid w:val="00814B37"/>
    <w:rsid w:val="008771B2"/>
    <w:rsid w:val="008826C0"/>
    <w:rsid w:val="009550D7"/>
    <w:rsid w:val="00973A39"/>
    <w:rsid w:val="0098163E"/>
    <w:rsid w:val="009C176D"/>
    <w:rsid w:val="00A17016"/>
    <w:rsid w:val="00A251F4"/>
    <w:rsid w:val="00A93CDE"/>
    <w:rsid w:val="00AB466C"/>
    <w:rsid w:val="00B62177"/>
    <w:rsid w:val="00BC5551"/>
    <w:rsid w:val="00BD39B5"/>
    <w:rsid w:val="00C05DE6"/>
    <w:rsid w:val="00C46866"/>
    <w:rsid w:val="00CD1C51"/>
    <w:rsid w:val="00CF40AE"/>
    <w:rsid w:val="00D545CD"/>
    <w:rsid w:val="00D96D95"/>
    <w:rsid w:val="00E10383"/>
    <w:rsid w:val="00E3197A"/>
    <w:rsid w:val="00EC1FE0"/>
    <w:rsid w:val="00F336CF"/>
    <w:rsid w:val="00F54A55"/>
    <w:rsid w:val="00FA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695CD-2BD4-4A01-9C64-5B49054B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3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FBB"/>
  </w:style>
  <w:style w:type="paragraph" w:styleId="Piedepgina">
    <w:name w:val="footer"/>
    <w:basedOn w:val="Normal"/>
    <w:link w:val="PiedepginaCar"/>
    <w:uiPriority w:val="99"/>
    <w:unhideWhenUsed/>
    <w:rsid w:val="00314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FBB"/>
  </w:style>
  <w:style w:type="paragraph" w:styleId="Textodeglobo">
    <w:name w:val="Balloon Text"/>
    <w:basedOn w:val="Normal"/>
    <w:link w:val="TextodegloboCar"/>
    <w:uiPriority w:val="99"/>
    <w:semiHidden/>
    <w:unhideWhenUsed/>
    <w:rsid w:val="00484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B1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9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8072B-4B20-4F4E-8103-7248BB8C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733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14</cp:revision>
  <cp:lastPrinted>2015-12-03T19:28:00Z</cp:lastPrinted>
  <dcterms:created xsi:type="dcterms:W3CDTF">2015-12-03T19:40:00Z</dcterms:created>
  <dcterms:modified xsi:type="dcterms:W3CDTF">2015-12-08T19:04:00Z</dcterms:modified>
</cp:coreProperties>
</file>