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8D" w:rsidRDefault="002B7C8D" w:rsidP="00EF4C42">
      <w:pPr>
        <w:rPr>
          <w:rFonts w:ascii="Century Gothic" w:hAnsi="Century Gothic"/>
          <w:b/>
          <w:noProof/>
          <w:sz w:val="20"/>
          <w:szCs w:val="20"/>
          <w:lang w:eastAsia="es-MX"/>
        </w:rPr>
      </w:pPr>
    </w:p>
    <w:p w:rsidR="00EF4C42" w:rsidRPr="00EF1013" w:rsidRDefault="00EF4C42" w:rsidP="00EF4C42">
      <w:pPr>
        <w:rPr>
          <w:rFonts w:ascii="Century Gothic" w:hAnsi="Century Gothic"/>
          <w:b/>
          <w:noProof/>
          <w:sz w:val="20"/>
          <w:szCs w:val="20"/>
          <w:lang w:eastAsia="es-MX"/>
        </w:rPr>
      </w:pPr>
      <w:r w:rsidRPr="00EF1013">
        <w:rPr>
          <w:rFonts w:ascii="Century Gothic" w:hAnsi="Century Gothic"/>
          <w:b/>
          <w:noProof/>
          <w:sz w:val="20"/>
          <w:szCs w:val="20"/>
          <w:lang w:eastAsia="es-MX"/>
        </w:rPr>
        <w:t>Tamazunchale, s.l.p., a  10 de Agosto de 2015</w:t>
      </w:r>
    </w:p>
    <w:p w:rsidR="00EF4C42" w:rsidRPr="00EF1013" w:rsidRDefault="00EF4C42" w:rsidP="00EF4C42">
      <w:pPr>
        <w:rPr>
          <w:rFonts w:ascii="Corbel" w:hAnsi="Corbel"/>
          <w:noProof/>
          <w:sz w:val="20"/>
          <w:szCs w:val="20"/>
          <w:lang w:eastAsia="es-MX"/>
        </w:rPr>
      </w:pPr>
    </w:p>
    <w:p w:rsidR="00030A64" w:rsidRPr="00EF1013" w:rsidRDefault="00EF4C42" w:rsidP="00EF4C42">
      <w:pPr>
        <w:jc w:val="center"/>
        <w:rPr>
          <w:rFonts w:ascii="Century Gothic" w:hAnsi="Century Gothic"/>
          <w:b/>
          <w:noProof/>
          <w:sz w:val="20"/>
          <w:szCs w:val="20"/>
          <w:lang w:eastAsia="es-MX"/>
        </w:rPr>
      </w:pPr>
      <w:r w:rsidRPr="00EF1013">
        <w:rPr>
          <w:rFonts w:ascii="Century Gothic" w:hAnsi="Century Gothic"/>
          <w:b/>
          <w:noProof/>
          <w:sz w:val="20"/>
          <w:szCs w:val="20"/>
          <w:lang w:eastAsia="es-MX"/>
        </w:rPr>
        <w:t>Resumen clinico de la Unidad Medica</w:t>
      </w:r>
    </w:p>
    <w:p w:rsidR="00EF4C42" w:rsidRPr="00EF1013" w:rsidRDefault="00EF4C42" w:rsidP="00EF4C42">
      <w:pPr>
        <w:spacing w:after="0"/>
        <w:jc w:val="both"/>
        <w:rPr>
          <w:rFonts w:ascii="Corbel" w:hAnsi="Corbel"/>
          <w:b/>
          <w:noProof/>
          <w:sz w:val="20"/>
          <w:szCs w:val="20"/>
          <w:lang w:eastAsia="es-MX"/>
        </w:rPr>
      </w:pPr>
    </w:p>
    <w:p w:rsidR="00EF4C42" w:rsidRPr="00EF1013" w:rsidRDefault="00EF4C42"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Se trata de paciente Masculino de 72  años  de edad, cuenta con los siguientes datos de interès mèdico:</w:t>
      </w:r>
    </w:p>
    <w:p w:rsidR="00EF4C42" w:rsidRPr="00EF1013" w:rsidRDefault="00EF4C42" w:rsidP="00EF4C42">
      <w:pPr>
        <w:spacing w:after="0"/>
        <w:jc w:val="both"/>
        <w:rPr>
          <w:rFonts w:ascii="Century Gothic" w:hAnsi="Century Gothic"/>
          <w:b/>
          <w:noProof/>
          <w:sz w:val="20"/>
          <w:szCs w:val="20"/>
          <w:lang w:eastAsia="es-MX"/>
        </w:rPr>
      </w:pPr>
    </w:p>
    <w:p w:rsidR="00EF4C42" w:rsidRPr="00EF1013" w:rsidRDefault="00EF4C42"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AHF.</w:t>
      </w:r>
      <w:r w:rsidR="00D90B0D">
        <w:rPr>
          <w:rFonts w:ascii="Century Gothic" w:hAnsi="Century Gothic"/>
          <w:b/>
          <w:noProof/>
          <w:sz w:val="20"/>
          <w:szCs w:val="20"/>
          <w:lang w:eastAsia="es-MX"/>
        </w:rPr>
        <w:t xml:space="preserve"> </w:t>
      </w:r>
      <w:r w:rsidRPr="00EF1013">
        <w:rPr>
          <w:rFonts w:ascii="Century Gothic" w:hAnsi="Century Gothic"/>
          <w:b/>
          <w:noProof/>
          <w:sz w:val="20"/>
          <w:szCs w:val="20"/>
          <w:lang w:eastAsia="es-MX"/>
        </w:rPr>
        <w:t>madre diabetica, restos sin datos de importancia</w:t>
      </w:r>
    </w:p>
    <w:p w:rsidR="00EF4C42" w:rsidRPr="00EF1013" w:rsidRDefault="00D90B0D" w:rsidP="00EF4C42">
      <w:pPr>
        <w:spacing w:after="0"/>
        <w:jc w:val="both"/>
        <w:rPr>
          <w:rFonts w:ascii="Century Gothic" w:hAnsi="Century Gothic"/>
          <w:b/>
          <w:noProof/>
          <w:sz w:val="20"/>
          <w:szCs w:val="20"/>
          <w:lang w:eastAsia="es-MX"/>
        </w:rPr>
      </w:pPr>
      <w:r w:rsidRPr="00D90B0D">
        <w:rPr>
          <w:rFonts w:ascii="Century Gothic" w:hAnsi="Century Gothic"/>
          <w:b/>
          <w:noProof/>
          <w:sz w:val="20"/>
          <w:szCs w:val="20"/>
          <w:lang w:eastAsia="es-MX"/>
        </w:rPr>
        <w:t xml:space="preserve">APP: </w:t>
      </w:r>
      <w:r w:rsidR="00EF4C42" w:rsidRPr="00EF1013">
        <w:rPr>
          <w:rFonts w:ascii="Century Gothic" w:hAnsi="Century Gothic"/>
          <w:b/>
          <w:noProof/>
          <w:sz w:val="20"/>
          <w:szCs w:val="20"/>
          <w:lang w:eastAsia="es-MX"/>
        </w:rPr>
        <w:t>presenta hipoacusia bilateral</w:t>
      </w:r>
    </w:p>
    <w:p w:rsidR="00EF4C42" w:rsidRPr="00EF1013" w:rsidRDefault="00EF4C42"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APNP.  Fuè campesino, vivienda de madera y zacate, sin hacinamiento.</w:t>
      </w:r>
    </w:p>
    <w:p w:rsidR="00EF4C42" w:rsidRPr="00EF1013" w:rsidRDefault="00EF4C42"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 xml:space="preserve">Nota. Paciente que no acude a consulta medica </w:t>
      </w:r>
      <w:r w:rsidR="00D90B0D">
        <w:rPr>
          <w:rFonts w:ascii="Century Gothic" w:hAnsi="Century Gothic"/>
          <w:b/>
          <w:noProof/>
          <w:sz w:val="20"/>
          <w:szCs w:val="20"/>
          <w:lang w:eastAsia="es-MX"/>
        </w:rPr>
        <w:t xml:space="preserve">a esta unidad mèdica </w:t>
      </w:r>
      <w:r w:rsidRPr="00EF1013">
        <w:rPr>
          <w:rFonts w:ascii="Century Gothic" w:hAnsi="Century Gothic"/>
          <w:b/>
          <w:noProof/>
          <w:sz w:val="20"/>
          <w:szCs w:val="20"/>
          <w:lang w:eastAsia="es-MX"/>
        </w:rPr>
        <w:t>desde el 2012.</w:t>
      </w:r>
    </w:p>
    <w:p w:rsidR="00EF4C42" w:rsidRPr="00EF1013" w:rsidRDefault="00EF4C42" w:rsidP="00EF4C42">
      <w:pPr>
        <w:spacing w:after="0"/>
        <w:jc w:val="both"/>
        <w:rPr>
          <w:rFonts w:ascii="Century Gothic" w:hAnsi="Century Gothic"/>
          <w:b/>
          <w:noProof/>
          <w:sz w:val="20"/>
          <w:szCs w:val="20"/>
          <w:lang w:eastAsia="es-MX"/>
        </w:rPr>
      </w:pPr>
    </w:p>
    <w:p w:rsidR="00EF4C42" w:rsidRPr="00EF1013" w:rsidRDefault="00D90B0D"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PA</w:t>
      </w:r>
      <w:r w:rsidR="00EF4C42" w:rsidRPr="00EF1013">
        <w:rPr>
          <w:rFonts w:ascii="Century Gothic" w:hAnsi="Century Gothic"/>
          <w:b/>
          <w:noProof/>
          <w:sz w:val="20"/>
          <w:szCs w:val="20"/>
          <w:lang w:eastAsia="es-MX"/>
        </w:rPr>
        <w:t xml:space="preserve">. Acuden familiares al CS. De Tezapotla, refiriendo los familiares del fallecido </w:t>
      </w:r>
      <w:r w:rsidR="004A0AEF" w:rsidRPr="00EF1013">
        <w:rPr>
          <w:rFonts w:ascii="Century Gothic" w:hAnsi="Century Gothic"/>
          <w:b/>
          <w:noProof/>
          <w:sz w:val="20"/>
          <w:szCs w:val="20"/>
          <w:lang w:eastAsia="es-MX"/>
        </w:rPr>
        <w:t xml:space="preserve"> que </w:t>
      </w:r>
      <w:r>
        <w:rPr>
          <w:rFonts w:ascii="Century Gothic" w:hAnsi="Century Gothic"/>
          <w:b/>
          <w:noProof/>
          <w:sz w:val="20"/>
          <w:szCs w:val="20"/>
          <w:lang w:eastAsia="es-MX"/>
        </w:rPr>
        <w:t xml:space="preserve">Eustolio Reyes Rubio, </w:t>
      </w:r>
      <w:r w:rsidR="004A0AEF" w:rsidRPr="00EF1013">
        <w:rPr>
          <w:rFonts w:ascii="Century Gothic" w:hAnsi="Century Gothic"/>
          <w:b/>
          <w:noProof/>
          <w:sz w:val="20"/>
          <w:szCs w:val="20"/>
          <w:lang w:eastAsia="es-MX"/>
        </w:rPr>
        <w:t>recibia</w:t>
      </w:r>
      <w:r>
        <w:rPr>
          <w:rFonts w:ascii="Century Gothic" w:hAnsi="Century Gothic"/>
          <w:b/>
          <w:noProof/>
          <w:sz w:val="20"/>
          <w:szCs w:val="20"/>
          <w:lang w:eastAsia="es-MX"/>
        </w:rPr>
        <w:t xml:space="preserve"> atenciòn mèdica </w:t>
      </w:r>
      <w:r w:rsidR="004A0AEF" w:rsidRPr="00EF1013">
        <w:rPr>
          <w:rFonts w:ascii="Century Gothic" w:hAnsi="Century Gothic"/>
          <w:b/>
          <w:noProof/>
          <w:sz w:val="20"/>
          <w:szCs w:val="20"/>
          <w:lang w:eastAsia="es-MX"/>
        </w:rPr>
        <w:t xml:space="preserve">en el </w:t>
      </w:r>
      <w:r w:rsidR="00EF4C42" w:rsidRPr="00EF1013">
        <w:rPr>
          <w:rFonts w:ascii="Century Gothic" w:hAnsi="Century Gothic"/>
          <w:b/>
          <w:noProof/>
          <w:sz w:val="20"/>
          <w:szCs w:val="20"/>
          <w:lang w:eastAsia="es-MX"/>
        </w:rPr>
        <w:t>Hospital civil de Tamazunchale, mostrando hoja de referencia</w:t>
      </w:r>
      <w:r>
        <w:rPr>
          <w:rFonts w:ascii="Century Gothic" w:hAnsi="Century Gothic"/>
          <w:b/>
          <w:noProof/>
          <w:sz w:val="20"/>
          <w:szCs w:val="20"/>
          <w:lang w:eastAsia="es-MX"/>
        </w:rPr>
        <w:t xml:space="preserve"> </w:t>
      </w:r>
      <w:r w:rsidR="004A0AEF" w:rsidRPr="00EF1013">
        <w:rPr>
          <w:rFonts w:ascii="Century Gothic" w:hAnsi="Century Gothic"/>
          <w:b/>
          <w:noProof/>
          <w:sz w:val="20"/>
          <w:szCs w:val="20"/>
          <w:lang w:eastAsia="es-MX"/>
        </w:rPr>
        <w:t>del 16 02 de  2013 para el servicio de neurologìa en el Hospital Central de S.L.P., por disminuciòn progresiva de la memoria con cinco meses de evoluciòn, incapacidad para articular palabras, e indiferente al medio,</w:t>
      </w:r>
      <w:r>
        <w:rPr>
          <w:rFonts w:ascii="Century Gothic" w:hAnsi="Century Gothic"/>
          <w:b/>
          <w:noProof/>
          <w:sz w:val="20"/>
          <w:szCs w:val="20"/>
          <w:lang w:eastAsia="es-MX"/>
        </w:rPr>
        <w:t>asì como</w:t>
      </w:r>
      <w:r w:rsidR="004A0AEF" w:rsidRPr="00EF1013">
        <w:rPr>
          <w:rFonts w:ascii="Century Gothic" w:hAnsi="Century Gothic"/>
          <w:b/>
          <w:noProof/>
          <w:sz w:val="20"/>
          <w:szCs w:val="20"/>
          <w:lang w:eastAsia="es-MX"/>
        </w:rPr>
        <w:t xml:space="preserve"> dificultad para conciliar el sueño, con probable Dx de Alzheimer.</w:t>
      </w:r>
    </w:p>
    <w:p w:rsidR="00D90B0D" w:rsidRDefault="00D90B0D" w:rsidP="00EF4C42">
      <w:pPr>
        <w:spacing w:after="0"/>
        <w:jc w:val="both"/>
        <w:rPr>
          <w:rFonts w:ascii="Century Gothic" w:hAnsi="Century Gothic"/>
          <w:b/>
          <w:noProof/>
          <w:sz w:val="20"/>
          <w:szCs w:val="20"/>
          <w:lang w:eastAsia="es-MX"/>
        </w:rPr>
      </w:pPr>
    </w:p>
    <w:p w:rsidR="004A0AEF" w:rsidRDefault="004A0AEF"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El 08 de 01 15 con resultado de resonancia magnetica emitiendose un diagnòstico de aracnoidocele sellar parcial, mas  calcificaciòn de plexos coroides y glandula pineal, atrofia corticosubcortical, espacios de virchow robin prominentes, ademas de multiples alteraciones en la ma</w:t>
      </w:r>
      <w:bookmarkStart w:id="0" w:name="_GoBack"/>
      <w:bookmarkEnd w:id="0"/>
      <w:r w:rsidRPr="00EF1013">
        <w:rPr>
          <w:rFonts w:ascii="Century Gothic" w:hAnsi="Century Gothic"/>
          <w:b/>
          <w:noProof/>
          <w:sz w:val="20"/>
          <w:szCs w:val="20"/>
          <w:lang w:eastAsia="es-MX"/>
        </w:rPr>
        <w:t>teria blanca, de probable origen vascular, se le da tratamiento a  base  de quetiapina.</w:t>
      </w:r>
    </w:p>
    <w:p w:rsidR="00D90B0D" w:rsidRPr="00EF1013" w:rsidRDefault="00D90B0D" w:rsidP="00EF4C42">
      <w:pPr>
        <w:spacing w:after="0"/>
        <w:jc w:val="both"/>
        <w:rPr>
          <w:rFonts w:ascii="Century Gothic" w:hAnsi="Century Gothic"/>
          <w:b/>
          <w:noProof/>
          <w:sz w:val="20"/>
          <w:szCs w:val="20"/>
          <w:lang w:eastAsia="es-MX"/>
        </w:rPr>
      </w:pPr>
    </w:p>
    <w:p w:rsidR="004A0AEF" w:rsidRPr="00EF1013" w:rsidRDefault="009E10D9"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 xml:space="preserve">Por lo que se extiende el certificado de defunciòn de  acuerdo </w:t>
      </w:r>
      <w:r w:rsidR="00D90B0D">
        <w:rPr>
          <w:rFonts w:ascii="Century Gothic" w:hAnsi="Century Gothic"/>
          <w:b/>
          <w:noProof/>
          <w:sz w:val="20"/>
          <w:szCs w:val="20"/>
          <w:lang w:eastAsia="es-MX"/>
        </w:rPr>
        <w:t>a los hallazgos ya mencionados.</w:t>
      </w:r>
    </w:p>
    <w:p w:rsidR="009E10D9" w:rsidRPr="00EF1013" w:rsidRDefault="009E10D9" w:rsidP="00EF4C42">
      <w:pPr>
        <w:spacing w:after="0"/>
        <w:jc w:val="both"/>
        <w:rPr>
          <w:rFonts w:ascii="Century Gothic" w:hAnsi="Century Gothic"/>
          <w:b/>
          <w:noProof/>
          <w:sz w:val="20"/>
          <w:szCs w:val="20"/>
          <w:lang w:eastAsia="es-MX"/>
        </w:rPr>
      </w:pPr>
    </w:p>
    <w:p w:rsidR="009E10D9" w:rsidRPr="00EF1013" w:rsidRDefault="009E10D9" w:rsidP="00EF4C42">
      <w:pPr>
        <w:spacing w:after="0"/>
        <w:jc w:val="both"/>
        <w:rPr>
          <w:rFonts w:ascii="Century Gothic" w:hAnsi="Century Gothic"/>
          <w:b/>
          <w:noProof/>
          <w:sz w:val="20"/>
          <w:szCs w:val="20"/>
          <w:lang w:eastAsia="es-MX"/>
        </w:rPr>
      </w:pPr>
    </w:p>
    <w:p w:rsidR="009E10D9" w:rsidRPr="002B7C8D" w:rsidRDefault="009E10D9" w:rsidP="00EF4C42">
      <w:pPr>
        <w:spacing w:after="0"/>
        <w:jc w:val="both"/>
        <w:rPr>
          <w:rFonts w:ascii="Century Gothic" w:hAnsi="Century Gothic"/>
          <w:b/>
          <w:noProof/>
          <w:sz w:val="20"/>
          <w:szCs w:val="20"/>
          <w:lang w:val="pt-BR" w:eastAsia="es-MX"/>
        </w:rPr>
      </w:pPr>
      <w:r w:rsidRPr="002B7C8D">
        <w:rPr>
          <w:rFonts w:ascii="Century Gothic" w:hAnsi="Century Gothic"/>
          <w:b/>
          <w:noProof/>
          <w:sz w:val="20"/>
          <w:szCs w:val="20"/>
          <w:lang w:val="pt-BR" w:eastAsia="es-MX"/>
        </w:rPr>
        <w:t>A</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T</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E</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N</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T</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A</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M</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E</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N</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T</w:t>
      </w:r>
      <w:r w:rsidR="00EF1013" w:rsidRPr="002B7C8D">
        <w:rPr>
          <w:rFonts w:ascii="Century Gothic" w:hAnsi="Century Gothic"/>
          <w:b/>
          <w:noProof/>
          <w:sz w:val="20"/>
          <w:szCs w:val="20"/>
          <w:lang w:val="pt-BR" w:eastAsia="es-MX"/>
        </w:rPr>
        <w:t xml:space="preserve">   </w:t>
      </w:r>
      <w:r w:rsidRPr="002B7C8D">
        <w:rPr>
          <w:rFonts w:ascii="Century Gothic" w:hAnsi="Century Gothic"/>
          <w:b/>
          <w:noProof/>
          <w:sz w:val="20"/>
          <w:szCs w:val="20"/>
          <w:lang w:val="pt-BR" w:eastAsia="es-MX"/>
        </w:rPr>
        <w:t>E</w:t>
      </w:r>
      <w:r w:rsidR="00EF1013" w:rsidRPr="002B7C8D">
        <w:rPr>
          <w:rFonts w:ascii="Century Gothic" w:hAnsi="Century Gothic"/>
          <w:b/>
          <w:noProof/>
          <w:sz w:val="20"/>
          <w:szCs w:val="20"/>
          <w:lang w:val="pt-BR" w:eastAsia="es-MX"/>
        </w:rPr>
        <w:t xml:space="preserve"> </w:t>
      </w:r>
    </w:p>
    <w:p w:rsidR="009E10D9" w:rsidRPr="00EF1013" w:rsidRDefault="00EF1013" w:rsidP="00EF4C42">
      <w:pPr>
        <w:spacing w:after="0"/>
        <w:jc w:val="both"/>
        <w:rPr>
          <w:rFonts w:ascii="Century Gothic" w:hAnsi="Century Gothic"/>
          <w:b/>
          <w:noProof/>
          <w:sz w:val="20"/>
          <w:szCs w:val="20"/>
          <w:lang w:eastAsia="es-MX"/>
        </w:rPr>
      </w:pPr>
      <w:r w:rsidRPr="00EF1013">
        <w:rPr>
          <w:noProof/>
          <w:lang w:eastAsia="zh-TW"/>
        </w:rPr>
        <w:drawing>
          <wp:inline distT="0" distB="0" distL="0" distR="0" wp14:anchorId="1AAC6997" wp14:editId="635B7DAD">
            <wp:extent cx="1840676" cy="748146"/>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8181" t="8004" r="1907" b="14240"/>
                    <a:stretch/>
                  </pic:blipFill>
                  <pic:spPr bwMode="auto">
                    <a:xfrm>
                      <a:off x="0" y="0"/>
                      <a:ext cx="1842968" cy="749077"/>
                    </a:xfrm>
                    <a:prstGeom prst="rect">
                      <a:avLst/>
                    </a:prstGeom>
                    <a:noFill/>
                    <a:ln>
                      <a:noFill/>
                    </a:ln>
                    <a:extLst>
                      <a:ext uri="{53640926-AAD7-44D8-BBD7-CCE9431645EC}">
                        <a14:shadowObscured xmlns:a14="http://schemas.microsoft.com/office/drawing/2010/main"/>
                      </a:ext>
                    </a:extLst>
                  </pic:spPr>
                </pic:pic>
              </a:graphicData>
            </a:graphic>
          </wp:inline>
        </w:drawing>
      </w:r>
    </w:p>
    <w:p w:rsidR="00EF1013" w:rsidRDefault="00EF1013" w:rsidP="00EF4C42">
      <w:pPr>
        <w:spacing w:after="0"/>
        <w:jc w:val="both"/>
        <w:rPr>
          <w:rFonts w:ascii="Century Gothic" w:hAnsi="Century Gothic"/>
          <w:b/>
          <w:noProof/>
          <w:sz w:val="20"/>
          <w:szCs w:val="20"/>
          <w:lang w:eastAsia="es-MX"/>
        </w:rPr>
      </w:pPr>
    </w:p>
    <w:p w:rsidR="009E10D9" w:rsidRPr="00EF1013" w:rsidRDefault="009E10D9" w:rsidP="00EF1013">
      <w:pPr>
        <w:spacing w:after="0"/>
        <w:jc w:val="both"/>
        <w:rPr>
          <w:rFonts w:ascii="Century Gothic" w:hAnsi="Century Gothic"/>
          <w:noProof/>
          <w:sz w:val="20"/>
          <w:szCs w:val="20"/>
          <w:lang w:eastAsia="es-MX"/>
        </w:rPr>
      </w:pPr>
      <w:r w:rsidRPr="00EF1013">
        <w:rPr>
          <w:rFonts w:ascii="Century Gothic" w:hAnsi="Century Gothic"/>
          <w:b/>
          <w:noProof/>
          <w:sz w:val="20"/>
          <w:szCs w:val="20"/>
          <w:lang w:eastAsia="es-MX"/>
        </w:rPr>
        <w:t>MPSS. LUEVANOS MEND</w:t>
      </w:r>
      <w:r w:rsidRPr="00EF1013">
        <w:rPr>
          <w:rFonts w:ascii="Century Gothic" w:hAnsi="Century Gothic"/>
          <w:noProof/>
          <w:sz w:val="20"/>
          <w:szCs w:val="20"/>
          <w:lang w:eastAsia="es-MX"/>
        </w:rPr>
        <w:t>IOLA HECTOR</w:t>
      </w:r>
    </w:p>
    <w:p w:rsidR="009E10D9" w:rsidRPr="00EF1013" w:rsidRDefault="009E10D9" w:rsidP="00EF4C42">
      <w:pPr>
        <w:spacing w:after="0"/>
        <w:jc w:val="both"/>
        <w:rPr>
          <w:rFonts w:ascii="Century Gothic" w:hAnsi="Century Gothic"/>
          <w:b/>
          <w:noProof/>
          <w:sz w:val="20"/>
          <w:szCs w:val="20"/>
          <w:lang w:eastAsia="es-MX"/>
        </w:rPr>
      </w:pPr>
      <w:r w:rsidRPr="00EF1013">
        <w:rPr>
          <w:rFonts w:ascii="Century Gothic" w:hAnsi="Century Gothic"/>
          <w:b/>
          <w:noProof/>
          <w:sz w:val="20"/>
          <w:szCs w:val="20"/>
          <w:lang w:eastAsia="es-MX"/>
        </w:rPr>
        <w:t>CS. DE  TEZAPOTLA</w:t>
      </w:r>
    </w:p>
    <w:p w:rsidR="00EF4C42" w:rsidRPr="00EF1013" w:rsidRDefault="00EF4C42" w:rsidP="00EF4C42">
      <w:pPr>
        <w:jc w:val="both"/>
        <w:rPr>
          <w:rFonts w:ascii="Century Gothic" w:hAnsi="Century Gothic"/>
          <w:b/>
          <w:noProof/>
          <w:sz w:val="20"/>
          <w:szCs w:val="20"/>
          <w:lang w:eastAsia="es-MX"/>
        </w:rPr>
      </w:pPr>
    </w:p>
    <w:p w:rsidR="00EF4C42" w:rsidRDefault="00EF4C42"/>
    <w:sectPr w:rsidR="00EF4C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42"/>
    <w:rsid w:val="00030A64"/>
    <w:rsid w:val="002B7C8D"/>
    <w:rsid w:val="004A0AEF"/>
    <w:rsid w:val="004C6E6B"/>
    <w:rsid w:val="009E10D9"/>
    <w:rsid w:val="00D90B0D"/>
    <w:rsid w:val="00EF1013"/>
    <w:rsid w:val="00EF4C42"/>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8B678-30F9-44C5-B247-501BED7B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4C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228</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damason</dc:creator>
  <cp:keywords/>
  <dc:description/>
  <cp:lastModifiedBy>VIH</cp:lastModifiedBy>
  <cp:revision>5</cp:revision>
  <dcterms:created xsi:type="dcterms:W3CDTF">2015-08-10T14:36:00Z</dcterms:created>
  <dcterms:modified xsi:type="dcterms:W3CDTF">2015-08-10T16:29:00Z</dcterms:modified>
</cp:coreProperties>
</file>