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0B" w:rsidRDefault="0029010B" w:rsidP="0029010B">
      <w:pPr>
        <w:pStyle w:val="Sinespaciado"/>
        <w:jc w:val="both"/>
        <w:rPr>
          <w:lang w:val="es-MX"/>
        </w:rPr>
      </w:pPr>
      <w:r>
        <w:rPr>
          <w:lang w:val="es-MX"/>
        </w:rPr>
        <w:t>San Luis Potosí S.L.P. 2</w:t>
      </w:r>
      <w:r w:rsidR="00DB1D72">
        <w:rPr>
          <w:lang w:val="es-MX"/>
        </w:rPr>
        <w:t>5</w:t>
      </w:r>
      <w:r>
        <w:rPr>
          <w:lang w:val="es-MX"/>
        </w:rPr>
        <w:t xml:space="preserve"> de junio de 2015.</w:t>
      </w:r>
    </w:p>
    <w:p w:rsidR="0029010B" w:rsidRDefault="0029010B" w:rsidP="0029010B">
      <w:pPr>
        <w:pStyle w:val="Sinespaciado"/>
        <w:rPr>
          <w:lang w:val="es-MX"/>
        </w:rPr>
      </w:pPr>
    </w:p>
    <w:p w:rsidR="0029010B" w:rsidRDefault="0029010B" w:rsidP="0029010B">
      <w:pPr>
        <w:pStyle w:val="Sinespaciado"/>
        <w:jc w:val="center"/>
        <w:rPr>
          <w:b/>
          <w:lang w:val="es-MX"/>
        </w:rPr>
      </w:pPr>
      <w:r>
        <w:rPr>
          <w:b/>
          <w:lang w:val="es-MX"/>
        </w:rPr>
        <w:t xml:space="preserve">RESUMEN CLÍNICO </w:t>
      </w:r>
    </w:p>
    <w:p w:rsidR="0029010B" w:rsidRDefault="0029010B" w:rsidP="0029010B">
      <w:pPr>
        <w:pStyle w:val="Sinespaciado"/>
        <w:rPr>
          <w:lang w:val="es-MX"/>
        </w:rPr>
      </w:pPr>
    </w:p>
    <w:p w:rsidR="0029010B" w:rsidRDefault="0029010B" w:rsidP="0029010B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NOMBRE: Martiniano Guerrero </w:t>
      </w:r>
      <w:proofErr w:type="spellStart"/>
      <w:r>
        <w:rPr>
          <w:lang w:val="es-MX"/>
        </w:rPr>
        <w:t>Guerrero</w:t>
      </w:r>
      <w:proofErr w:type="spellEnd"/>
    </w:p>
    <w:p w:rsidR="0029010B" w:rsidRDefault="0029010B" w:rsidP="0029010B">
      <w:pPr>
        <w:pStyle w:val="Sinespaciado"/>
        <w:jc w:val="both"/>
        <w:rPr>
          <w:lang w:val="es-MX"/>
        </w:rPr>
      </w:pPr>
      <w:r>
        <w:rPr>
          <w:lang w:val="es-MX"/>
        </w:rPr>
        <w:t>EDAD: 79 años.</w:t>
      </w:r>
    </w:p>
    <w:p w:rsidR="0029010B" w:rsidRDefault="0029010B" w:rsidP="0029010B">
      <w:pPr>
        <w:pStyle w:val="Sinespaciado"/>
        <w:jc w:val="both"/>
        <w:rPr>
          <w:lang w:val="es-MX"/>
        </w:rPr>
      </w:pPr>
      <w:r>
        <w:rPr>
          <w:lang w:val="es-MX"/>
        </w:rPr>
        <w:t>FECHA DE DEFUNCIÓN: 15 junio 2015.</w:t>
      </w:r>
    </w:p>
    <w:p w:rsidR="0029010B" w:rsidRDefault="0029010B" w:rsidP="0029010B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DIAGNÓSTICOS DE DEFUNCIÓN SEGÚN CERTIFICADO DE DEFUNCIÓN: </w:t>
      </w:r>
    </w:p>
    <w:p w:rsidR="0029010B" w:rsidRDefault="00F067D0" w:rsidP="0029010B">
      <w:pPr>
        <w:pStyle w:val="Sinespaciado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Falla Orgánica M</w:t>
      </w:r>
      <w:r w:rsidR="0029010B">
        <w:rPr>
          <w:lang w:val="es-MX"/>
        </w:rPr>
        <w:t>últiple</w:t>
      </w:r>
    </w:p>
    <w:p w:rsidR="0029010B" w:rsidRDefault="0029010B" w:rsidP="0029010B">
      <w:pPr>
        <w:pStyle w:val="Sinespaciado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Desequilibrio Hidroelectrolítico</w:t>
      </w:r>
    </w:p>
    <w:p w:rsidR="0029010B" w:rsidRDefault="00B56BB0" w:rsidP="00B56BB0">
      <w:pPr>
        <w:pStyle w:val="Sinespaciado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Tuberculosis Pulmonar</w:t>
      </w:r>
    </w:p>
    <w:p w:rsidR="0029010B" w:rsidRDefault="00B56BB0" w:rsidP="00A365F0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Masculino de </w:t>
      </w:r>
      <w:r w:rsidR="000733BC">
        <w:rPr>
          <w:lang w:val="es-MX"/>
        </w:rPr>
        <w:t xml:space="preserve">78 años a su ingreso al Programa de Tuberculosis.  Diagnóstico de Tuberculosis Pulmonar el día 06 de febrero de 2014 por Baciloscopía positiva una cruz.  Fue ingresado a tratamiento antifímico el 10 de febrero 2014, con TAES a cargo de la Brigada de TB </w:t>
      </w:r>
      <w:r w:rsidR="00420B3F">
        <w:rPr>
          <w:lang w:val="es-MX"/>
        </w:rPr>
        <w:t xml:space="preserve">quien le supervisaba a domicilio la ingesta de su medicamento.  Paciente </w:t>
      </w:r>
      <w:r w:rsidR="00F045E0">
        <w:rPr>
          <w:lang w:val="es-MX"/>
        </w:rPr>
        <w:t xml:space="preserve">con desnutrición de varios años de evolución,  a quien se le </w:t>
      </w:r>
      <w:r w:rsidR="006D0BBA">
        <w:rPr>
          <w:lang w:val="es-MX"/>
        </w:rPr>
        <w:t>diagnosticó anemia en el 25 de marzo 2014 y fue referido al Hospital Central</w:t>
      </w:r>
      <w:r w:rsidR="00435A93">
        <w:rPr>
          <w:lang w:val="es-MX"/>
        </w:rPr>
        <w:t xml:space="preserve">  para su atención en donde se le prescribió </w:t>
      </w:r>
      <w:proofErr w:type="spellStart"/>
      <w:r w:rsidR="00435A93">
        <w:rPr>
          <w:lang w:val="es-MX"/>
        </w:rPr>
        <w:t>Pangavit</w:t>
      </w:r>
      <w:proofErr w:type="spellEnd"/>
      <w:r w:rsidR="00435A93">
        <w:rPr>
          <w:lang w:val="es-MX"/>
        </w:rPr>
        <w:t xml:space="preserve"> </w:t>
      </w:r>
      <w:proofErr w:type="spellStart"/>
      <w:r w:rsidR="00435A93">
        <w:rPr>
          <w:lang w:val="es-MX"/>
        </w:rPr>
        <w:t>tabs</w:t>
      </w:r>
      <w:proofErr w:type="spellEnd"/>
      <w:r w:rsidR="00435A93">
        <w:rPr>
          <w:lang w:val="es-MX"/>
        </w:rPr>
        <w:t xml:space="preserve">. Continuó con su TAES hasta la terminación del mismo en el mes de septiembre 2014, mes en la que se egresó </w:t>
      </w:r>
      <w:r w:rsidR="002A6B71">
        <w:rPr>
          <w:lang w:val="es-MX"/>
        </w:rPr>
        <w:t xml:space="preserve">por curación con cultivo negativo.  </w:t>
      </w:r>
    </w:p>
    <w:p w:rsidR="00FF18FC" w:rsidRDefault="00FF18FC" w:rsidP="00A365F0">
      <w:pPr>
        <w:pStyle w:val="Sinespaciado"/>
        <w:jc w:val="both"/>
        <w:rPr>
          <w:lang w:val="es-MX"/>
        </w:rPr>
      </w:pPr>
    </w:p>
    <w:p w:rsidR="00FF18FC" w:rsidRPr="0029010B" w:rsidRDefault="00FF18FC" w:rsidP="00A365F0">
      <w:pPr>
        <w:pStyle w:val="Sinespaciad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lang w:val="es-MX"/>
        </w:rPr>
        <w:t>A continuación se enlistan los resultados de la baciloscopías de control con sus respectivas fechas:</w:t>
      </w:r>
    </w:p>
    <w:p w:rsidR="0029010B" w:rsidRPr="0029010B" w:rsidRDefault="0029010B" w:rsidP="00290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_tradnl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29010B" w:rsidRPr="0029010B" w:rsidTr="0029010B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</w:p>
        </w:tc>
      </w:tr>
      <w:tr w:rsidR="0029010B" w:rsidRPr="0029010B" w:rsidTr="002901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</w:p>
        </w:tc>
      </w:tr>
    </w:tbl>
    <w:p w:rsidR="0029010B" w:rsidRPr="0029010B" w:rsidRDefault="0029010B" w:rsidP="00290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_tradnl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3"/>
        <w:gridCol w:w="1611"/>
        <w:gridCol w:w="1703"/>
        <w:gridCol w:w="1630"/>
        <w:gridCol w:w="1534"/>
        <w:gridCol w:w="1563"/>
      </w:tblGrid>
      <w:tr w:rsidR="0029010B" w:rsidRPr="0029010B" w:rsidTr="0029010B">
        <w:trPr>
          <w:tblCellSpacing w:w="0" w:type="dxa"/>
          <w:jc w:val="center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C5C9C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</w:pPr>
            <w:proofErr w:type="spellStart"/>
            <w:r w:rsidRPr="002901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  <w:t>Indice</w:t>
            </w:r>
            <w:proofErr w:type="spell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C5C9C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  <w:t>Estudio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C5C9C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  <w:t>Tipo de Estudio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C5C9C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  <w:t>Resultados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C5C9C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  <w:t>Fecha de solicitud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C5C9C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_tradnl"/>
              </w:rPr>
              <w:t>Fecha de resultado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5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1-1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DIAGNOSTICO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BK+ (UNA CRUZ)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5/2/2014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6/2/2014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6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2-2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CONTROL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BK- (NEGATIVO)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24/3/2014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25/3/2014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7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3-3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CONTROL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BK- (NEGATIVO)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24/4/2014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25/4/2014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8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4-4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CONTROL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BK- (NEGATIVO)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19/5/2014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20/5/2014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9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5-5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CONTROL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BK- (NEGATIVO)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18/6/2014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19/6/2014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10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6-6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CONTROL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BK- (NEGATIVO)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28/7/2014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29/7/2014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11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7-7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CONTROL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BK- (NEGATIVO)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29/8/2014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29/8/2014</w:t>
            </w:r>
          </w:p>
        </w:tc>
      </w:tr>
      <w:tr w:rsidR="0029010B" w:rsidRPr="0029010B" w:rsidTr="0029010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99334D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hyperlink r:id="rId12" w:history="1">
              <w:r w:rsidR="0029010B" w:rsidRPr="0029010B">
                <w:rPr>
                  <w:rFonts w:ascii="Arial" w:eastAsia="Times New Roman" w:hAnsi="Arial" w:cs="Arial"/>
                  <w:color w:val="0000FF"/>
                  <w:sz w:val="14"/>
                  <w:szCs w:val="14"/>
                  <w:lang w:eastAsia="es-ES_tradnl"/>
                </w:rPr>
                <w:t>8-8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</w:t>
            </w:r>
            <w:proofErr w:type="spellStart"/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Baciloscopia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CONTROL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 BK- (NEGATIVO)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18/9/2014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DEE"/>
            <w:vAlign w:val="center"/>
            <w:hideMark/>
          </w:tcPr>
          <w:p w:rsidR="0029010B" w:rsidRPr="0029010B" w:rsidRDefault="0029010B" w:rsidP="00290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</w:pPr>
            <w:r w:rsidRPr="0029010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ES_tradnl"/>
              </w:rPr>
              <w:t>18/9/2014</w:t>
            </w:r>
          </w:p>
        </w:tc>
      </w:tr>
    </w:tbl>
    <w:p w:rsidR="0029010B" w:rsidRDefault="0029010B" w:rsidP="0029010B">
      <w:pPr>
        <w:pStyle w:val="Sinespaciado"/>
        <w:rPr>
          <w:lang w:val="es-MX"/>
        </w:rPr>
      </w:pPr>
    </w:p>
    <w:p w:rsidR="0029010B" w:rsidRDefault="002F10D2" w:rsidP="007E025F">
      <w:pPr>
        <w:pStyle w:val="Sinespaciado"/>
        <w:jc w:val="both"/>
        <w:rPr>
          <w:lang w:val="es-MX"/>
        </w:rPr>
      </w:pPr>
      <w:r>
        <w:rPr>
          <w:lang w:val="es-MX"/>
        </w:rPr>
        <w:t>No se tienen reportes relacionados con una posible recaída por TB Pulmonar del paciente.</w:t>
      </w:r>
      <w:r w:rsidR="00DB1D72">
        <w:rPr>
          <w:lang w:val="es-MX"/>
        </w:rPr>
        <w:t xml:space="preserve"> </w:t>
      </w:r>
    </w:p>
    <w:p w:rsidR="00DB1D72" w:rsidRDefault="00DB1D72" w:rsidP="007E025F">
      <w:pPr>
        <w:pStyle w:val="Sinespaciado"/>
        <w:jc w:val="both"/>
        <w:rPr>
          <w:lang w:val="es-MX"/>
        </w:rPr>
      </w:pPr>
      <w:r>
        <w:rPr>
          <w:lang w:val="es-MX"/>
        </w:rPr>
        <w:t>En visita domiciliaria se lograron recabar los siguientes datos</w:t>
      </w:r>
      <w:proofErr w:type="gramStart"/>
      <w:r>
        <w:rPr>
          <w:lang w:val="es-MX"/>
        </w:rPr>
        <w:t xml:space="preserve">:  </w:t>
      </w:r>
      <w:r w:rsidR="007E025F">
        <w:rPr>
          <w:lang w:val="es-MX"/>
        </w:rPr>
        <w:t>El</w:t>
      </w:r>
      <w:proofErr w:type="gramEnd"/>
      <w:r w:rsidR="007E025F">
        <w:rPr>
          <w:lang w:val="es-MX"/>
        </w:rPr>
        <w:t xml:space="preserve"> paciente se quejaba continuamente de cefalea intermitente, de intensidad moderada, niegan datos de irritación meníngea, presentaba además astenia, adinamia </w:t>
      </w:r>
      <w:r w:rsidR="001E1A67">
        <w:rPr>
          <w:lang w:val="es-MX"/>
        </w:rPr>
        <w:t>e</w:t>
      </w:r>
      <w:r w:rsidR="007E025F">
        <w:rPr>
          <w:lang w:val="es-MX"/>
        </w:rPr>
        <w:t xml:space="preserve"> hiporexia, dolor en cualquier parte del cuerpo al momento de tocarlo.  Contin</w:t>
      </w:r>
      <w:r w:rsidR="00947469">
        <w:rPr>
          <w:lang w:val="es-MX"/>
        </w:rPr>
        <w:t xml:space="preserve">uaba en tratamiento para la DM </w:t>
      </w:r>
      <w:r w:rsidR="007E025F">
        <w:rPr>
          <w:lang w:val="es-MX"/>
        </w:rPr>
        <w:t xml:space="preserve">con </w:t>
      </w:r>
      <w:proofErr w:type="spellStart"/>
      <w:r w:rsidR="007E025F">
        <w:rPr>
          <w:lang w:val="es-MX"/>
        </w:rPr>
        <w:t>Metformina</w:t>
      </w:r>
      <w:proofErr w:type="spellEnd"/>
      <w:r w:rsidR="007E025F">
        <w:rPr>
          <w:lang w:val="es-MX"/>
        </w:rPr>
        <w:t>, y para la</w:t>
      </w:r>
      <w:r w:rsidR="00947469">
        <w:rPr>
          <w:lang w:val="es-MX"/>
        </w:rPr>
        <w:t xml:space="preserve"> neuritis periférica Complejo B vía oral.</w:t>
      </w:r>
      <w:r w:rsidR="007E025F">
        <w:rPr>
          <w:lang w:val="es-MX"/>
        </w:rPr>
        <w:t xml:space="preserve">  El día 19 de mayo 2015 fue valorado por Geriatría en el Hospital Central</w:t>
      </w:r>
      <w:r w:rsidR="00947469">
        <w:rPr>
          <w:lang w:val="es-MX"/>
        </w:rPr>
        <w:t xml:space="preserve">, quien le diagnosticó Osteopenia y solicitó I.C. a </w:t>
      </w:r>
      <w:r w:rsidR="00EC7951">
        <w:rPr>
          <w:lang w:val="es-MX"/>
        </w:rPr>
        <w:t>Ortopedia y a Rehabilitación, citas programadas para el mes de julio 2015.</w:t>
      </w:r>
      <w:bookmarkStart w:id="0" w:name="_GoBack"/>
      <w:bookmarkEnd w:id="0"/>
    </w:p>
    <w:p w:rsidR="00947469" w:rsidRDefault="00947469" w:rsidP="007E025F">
      <w:pPr>
        <w:pStyle w:val="Sinespaciado"/>
        <w:jc w:val="both"/>
        <w:rPr>
          <w:lang w:val="es-MX"/>
        </w:rPr>
      </w:pPr>
      <w:r>
        <w:rPr>
          <w:lang w:val="es-MX"/>
        </w:rPr>
        <w:t xml:space="preserve">Una semana antes de su fallecimiento, los familiares refieren que el paciente </w:t>
      </w:r>
      <w:r w:rsidR="00B535F1">
        <w:rPr>
          <w:lang w:val="es-MX"/>
        </w:rPr>
        <w:t xml:space="preserve"> Presentó hiporexia, </w:t>
      </w:r>
      <w:r>
        <w:rPr>
          <w:lang w:val="es-MX"/>
        </w:rPr>
        <w:t>en ocasiones solo aceptaba líquidos, deteriorándose aún más hasta que sobrevino la muerte.</w:t>
      </w:r>
      <w:r w:rsidR="00B535F1">
        <w:rPr>
          <w:lang w:val="es-MX"/>
        </w:rPr>
        <w:t xml:space="preserve"> Por lo cual se descarta tuberculosis como causa de la defunción. </w:t>
      </w:r>
    </w:p>
    <w:p w:rsidR="003B7718" w:rsidRDefault="003B7718" w:rsidP="0029010B">
      <w:pPr>
        <w:pStyle w:val="Sinespaciado"/>
        <w:rPr>
          <w:lang w:val="es-MX"/>
        </w:rPr>
      </w:pPr>
    </w:p>
    <w:p w:rsidR="00583CE6" w:rsidRDefault="006537D0" w:rsidP="006537D0">
      <w:pPr>
        <w:pStyle w:val="Sinespaciado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a) </w:t>
      </w:r>
      <w:r w:rsidR="00583CE6">
        <w:rPr>
          <w:lang w:val="es-MX"/>
        </w:rPr>
        <w:t xml:space="preserve">Falla </w:t>
      </w:r>
      <w:proofErr w:type="spellStart"/>
      <w:r w:rsidR="00583CE6">
        <w:rPr>
          <w:lang w:val="es-MX"/>
        </w:rPr>
        <w:t>Organica</w:t>
      </w:r>
      <w:proofErr w:type="spellEnd"/>
      <w:r w:rsidR="00583CE6">
        <w:rPr>
          <w:lang w:val="es-MX"/>
        </w:rPr>
        <w:t xml:space="preserve"> </w:t>
      </w:r>
      <w:proofErr w:type="spellStart"/>
      <w:r w:rsidR="00583CE6">
        <w:rPr>
          <w:lang w:val="es-MX"/>
        </w:rPr>
        <w:t>Multiple</w:t>
      </w:r>
      <w:proofErr w:type="spellEnd"/>
    </w:p>
    <w:p w:rsidR="00583CE6" w:rsidRDefault="006537D0" w:rsidP="006537D0">
      <w:pPr>
        <w:pStyle w:val="Sinespaciado"/>
        <w:ind w:firstLine="708"/>
        <w:rPr>
          <w:lang w:val="es-MX"/>
        </w:rPr>
      </w:pPr>
      <w:proofErr w:type="gramStart"/>
      <w:r>
        <w:rPr>
          <w:lang w:val="es-MX"/>
        </w:rPr>
        <w:t>b)</w:t>
      </w:r>
      <w:r w:rsidR="00583CE6">
        <w:rPr>
          <w:lang w:val="es-MX"/>
        </w:rPr>
        <w:t>Desequilibrio</w:t>
      </w:r>
      <w:proofErr w:type="gramEnd"/>
      <w:r w:rsidR="00583CE6">
        <w:rPr>
          <w:lang w:val="es-MX"/>
        </w:rPr>
        <w:t xml:space="preserve"> </w:t>
      </w:r>
      <w:proofErr w:type="spellStart"/>
      <w:r w:rsidR="00583CE6">
        <w:rPr>
          <w:lang w:val="es-MX"/>
        </w:rPr>
        <w:t>Hidroelectrolitico</w:t>
      </w:r>
      <w:proofErr w:type="spellEnd"/>
      <w:r w:rsidR="00583CE6">
        <w:rPr>
          <w:lang w:val="es-MX"/>
        </w:rPr>
        <w:t xml:space="preserve">. </w:t>
      </w:r>
    </w:p>
    <w:p w:rsidR="00583CE6" w:rsidRDefault="00583CE6" w:rsidP="0029010B">
      <w:pPr>
        <w:pStyle w:val="Sinespaciado"/>
        <w:rPr>
          <w:lang w:val="es-MX"/>
        </w:rPr>
      </w:pPr>
    </w:p>
    <w:p w:rsidR="00583CE6" w:rsidRDefault="006537D0" w:rsidP="0029010B">
      <w:pPr>
        <w:pStyle w:val="Sinespaciado"/>
        <w:rPr>
          <w:lang w:val="es-MX"/>
        </w:rPr>
      </w:pPr>
      <w:r>
        <w:rPr>
          <w:lang w:val="es-MX"/>
        </w:rPr>
        <w:t xml:space="preserve"> II).-       </w:t>
      </w:r>
      <w:r w:rsidR="00583CE6">
        <w:rPr>
          <w:lang w:val="es-MX"/>
        </w:rPr>
        <w:t>Diabetes Mellitus tipo 2.</w:t>
      </w:r>
    </w:p>
    <w:p w:rsidR="00583CE6" w:rsidRDefault="00583CE6" w:rsidP="0029010B">
      <w:pPr>
        <w:pStyle w:val="Sinespaciado"/>
        <w:rPr>
          <w:lang w:val="es-MX"/>
        </w:rPr>
      </w:pPr>
    </w:p>
    <w:p w:rsidR="00FF18FC" w:rsidRDefault="00FF18FC" w:rsidP="0029010B">
      <w:pPr>
        <w:pStyle w:val="Sinespaciado"/>
        <w:rPr>
          <w:lang w:val="es-MX"/>
        </w:rPr>
      </w:pPr>
      <w:r>
        <w:rPr>
          <w:lang w:val="es-MX"/>
        </w:rPr>
        <w:t>ATENTAMENTE</w:t>
      </w:r>
    </w:p>
    <w:p w:rsidR="00FF18FC" w:rsidRDefault="00FF18FC" w:rsidP="0029010B">
      <w:pPr>
        <w:pStyle w:val="Sinespaciado"/>
        <w:rPr>
          <w:lang w:val="es-MX"/>
        </w:rPr>
      </w:pPr>
    </w:p>
    <w:p w:rsidR="00FF18FC" w:rsidRDefault="00FF18FC" w:rsidP="0029010B">
      <w:pPr>
        <w:pStyle w:val="Sinespaciado"/>
        <w:rPr>
          <w:lang w:val="es-MX"/>
        </w:rPr>
      </w:pPr>
      <w:r>
        <w:rPr>
          <w:lang w:val="es-MX"/>
        </w:rPr>
        <w:t>ENF. DIEGO DE JESÚS QUINTANAR RESÉNDIZ</w:t>
      </w:r>
    </w:p>
    <w:p w:rsidR="00FF18FC" w:rsidRPr="0029010B" w:rsidRDefault="00FF18FC" w:rsidP="0029010B">
      <w:pPr>
        <w:pStyle w:val="Sinespaciado"/>
        <w:rPr>
          <w:lang w:val="es-MX"/>
        </w:rPr>
      </w:pPr>
      <w:r>
        <w:rPr>
          <w:lang w:val="es-MX"/>
        </w:rPr>
        <w:t>RESP. DEL PROG. DE TUBERCULOSIS</w:t>
      </w:r>
    </w:p>
    <w:sectPr w:rsidR="00FF18FC" w:rsidRPr="0029010B" w:rsidSect="008A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346"/>
    <w:multiLevelType w:val="hybridMultilevel"/>
    <w:tmpl w:val="6D7A6BE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47619"/>
    <w:multiLevelType w:val="hybridMultilevel"/>
    <w:tmpl w:val="E45E67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10B"/>
    <w:rsid w:val="000733BC"/>
    <w:rsid w:val="000A7DB9"/>
    <w:rsid w:val="00150D02"/>
    <w:rsid w:val="001E1A67"/>
    <w:rsid w:val="00287F11"/>
    <w:rsid w:val="0029010B"/>
    <w:rsid w:val="002A6B71"/>
    <w:rsid w:val="002F10D2"/>
    <w:rsid w:val="003B7718"/>
    <w:rsid w:val="00420B3F"/>
    <w:rsid w:val="00435A93"/>
    <w:rsid w:val="005529F7"/>
    <w:rsid w:val="00583CE6"/>
    <w:rsid w:val="006537D0"/>
    <w:rsid w:val="006D0BBA"/>
    <w:rsid w:val="007E025F"/>
    <w:rsid w:val="00823FAD"/>
    <w:rsid w:val="00831EF6"/>
    <w:rsid w:val="008A615F"/>
    <w:rsid w:val="00947469"/>
    <w:rsid w:val="0099334D"/>
    <w:rsid w:val="009D02B9"/>
    <w:rsid w:val="00A365F0"/>
    <w:rsid w:val="00A90399"/>
    <w:rsid w:val="00B535F1"/>
    <w:rsid w:val="00B56BB0"/>
    <w:rsid w:val="00BB234A"/>
    <w:rsid w:val="00C57F60"/>
    <w:rsid w:val="00DB1D72"/>
    <w:rsid w:val="00EA62D9"/>
    <w:rsid w:val="00EC7951"/>
    <w:rsid w:val="00F045E0"/>
    <w:rsid w:val="00F067D0"/>
    <w:rsid w:val="00FB343C"/>
    <w:rsid w:val="00FF18FC"/>
    <w:rsid w:val="00FF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010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010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hove.gob.mx/reutilizables/formas/bus_LaboratorioyGabinete.asp?CveEstLab=1&amp;CveResLab=4&amp;FecSolEst=5/19/2014&amp;FecResEst=5/20/2014&amp;Id_tab=478318&amp;Id_app=5&amp;consecutivo=4&amp;otr_est_lab1=&amp;CVE_TB_CNS=4&amp;bandera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hove.gob.mx/reutilizables/formas/bus_LaboratorioyGabinete.asp?CveEstLab=1&amp;CveResLab=4&amp;FecSolEst=4/24/2014&amp;FecResEst=4/25/2014&amp;Id_tab=478318&amp;Id_app=5&amp;consecutivo=3&amp;otr_est_lab1=&amp;CVE_TB_CNS=3&amp;bandera=1" TargetMode="External"/><Relationship Id="rId12" Type="http://schemas.openxmlformats.org/officeDocument/2006/relationships/hyperlink" Target="http://www.rhove.gob.mx/reutilizables/formas/bus_LaboratorioyGabinete.asp?CveEstLab=1&amp;CveResLab=4&amp;FecSolEst=9/18/2014&amp;FecResEst=9/18/2014&amp;Id_tab=478318&amp;Id_app=5&amp;consecutivo=8&amp;otr_est_lab1=&amp;CVE_TB_CNS=8&amp;bandera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hove.gob.mx/reutilizables/formas/bus_LaboratorioyGabinete.asp?CveEstLab=1&amp;CveResLab=4&amp;FecSolEst=3/24/2014&amp;FecResEst=3/25/2014&amp;Id_tab=478318&amp;Id_app=5&amp;consecutivo=2&amp;otr_est_lab1=&amp;CVE_TB_CNS=2&amp;bandera=1" TargetMode="External"/><Relationship Id="rId11" Type="http://schemas.openxmlformats.org/officeDocument/2006/relationships/hyperlink" Target="http://www.rhove.gob.mx/reutilizables/formas/bus_LaboratorioyGabinete.asp?CveEstLab=1&amp;CveResLab=4&amp;FecSolEst=8/29/2014&amp;FecResEst=8/29/2014&amp;Id_tab=478318&amp;Id_app=5&amp;consecutivo=7&amp;otr_est_lab1=&amp;CVE_TB_CNS=7&amp;bandera=1" TargetMode="External"/><Relationship Id="rId5" Type="http://schemas.openxmlformats.org/officeDocument/2006/relationships/hyperlink" Target="http://www.rhove.gob.mx/reutilizables/formas/bus_LaboratorioyGabinete.asp?CveEstLab=1&amp;CveResLab=1&amp;FecSolEst=2/5/2014&amp;FecResEst=2/6/2014&amp;Id_tab=478318&amp;Id_app=5&amp;consecutivo=1&amp;otr_est_lab1=&amp;CVE_TB_CNS=1&amp;bandera=1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rhove.gob.mx/reutilizables/formas/bus_LaboratorioyGabinete.asp?CveEstLab=1&amp;CveResLab=4&amp;FecSolEst=7/28/2014&amp;FecResEst=7/29/2014&amp;Id_tab=478318&amp;Id_app=5&amp;consecutivo=6&amp;otr_est_lab1=&amp;CVE_TB_CNS=6&amp;bander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hove.gob.mx/reutilizables/formas/bus_LaboratorioyGabinete.asp?CveEstLab=1&amp;CveResLab=4&amp;FecSolEst=6/18/2014&amp;FecResEst=6/19/2014&amp;Id_tab=478318&amp;Id_app=5&amp;consecutivo=5&amp;otr_est_lab1=&amp;CVE_TB_CNS=5&amp;bandera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epi6</dc:creator>
  <cp:keywords/>
  <dc:description/>
  <cp:lastModifiedBy>epi1</cp:lastModifiedBy>
  <cp:revision>5</cp:revision>
  <dcterms:created xsi:type="dcterms:W3CDTF">2015-06-25T17:17:00Z</dcterms:created>
  <dcterms:modified xsi:type="dcterms:W3CDTF">2015-06-26T15:47:00Z</dcterms:modified>
</cp:coreProperties>
</file>