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2D169C" w:rsidRDefault="008E4D6E" w:rsidP="00D4111A">
      <w:pPr>
        <w:ind w:left="708"/>
      </w:pPr>
      <w:r>
        <w:t>NOMBRE:</w:t>
      </w:r>
      <w:r>
        <w:tab/>
      </w:r>
      <w:r w:rsidR="00BC7AAE">
        <w:t>Carlos Antonio Estrada Salazar</w:t>
      </w:r>
      <w:r>
        <w:br/>
        <w:t>EXPEDIENTE:</w:t>
      </w:r>
      <w:r>
        <w:tab/>
      </w:r>
      <w:r w:rsidR="00BC7AAE">
        <w:t>E34646</w:t>
      </w:r>
      <w:r>
        <w:br/>
      </w:r>
      <w:r>
        <w:br/>
      </w:r>
      <w:r w:rsidR="0015033C">
        <w:t xml:space="preserve">Masculino de </w:t>
      </w:r>
      <w:r w:rsidR="00BC7AAE">
        <w:t xml:space="preserve">2 años de edad sin antecedentes de importancia, procedente de Santa María del Río. Acude por cuadro de tres días de evolución con rinorrea, fiebre, vómito en cinco ocasiones al día, intolerancia a la vía oral. Se agregan evacuaciones disminuidas de consistencia en dos ocasiones por día, y dificultad respiratoria. </w:t>
      </w:r>
      <w:r w:rsidR="00047A53">
        <w:t xml:space="preserve">Acude a CS Santa María del Río, de donde refieren. </w:t>
      </w:r>
      <w:r w:rsidR="00BC7AAE">
        <w:t>Al ingreso con taquicardia, hipotensión, piel marmórea, somnolencia</w:t>
      </w:r>
      <w:r w:rsidR="00047A53">
        <w:t>, saturación 80%</w:t>
      </w:r>
      <w:bookmarkStart w:id="0" w:name="_GoBack"/>
      <w:bookmarkEnd w:id="0"/>
      <w:r w:rsidR="00BC7AAE">
        <w:t xml:space="preserve">, por lo que se ingresa con diagnóstico de choque y se inicia tratamiento con ventilación mecánica, antibiótico y aminas. Laboratorio con leucopenia, </w:t>
      </w:r>
      <w:proofErr w:type="spellStart"/>
      <w:r w:rsidR="00BC7AAE">
        <w:t>bandemia</w:t>
      </w:r>
      <w:proofErr w:type="spellEnd"/>
      <w:r w:rsidR="00BC7AAE">
        <w:t xml:space="preserve">, cultivos negativos, </w:t>
      </w:r>
      <w:proofErr w:type="spellStart"/>
      <w:r w:rsidR="00BC7AAE">
        <w:t>hipernatramia</w:t>
      </w:r>
      <w:proofErr w:type="spellEnd"/>
      <w:r w:rsidR="00BC7AAE">
        <w:t xml:space="preserve">, hiperglucemia. Durante el internamiento no se observa mejoría pese a manejo de terapia intensiva, y se agrega infección intrahospitalaria con urocultivo y hemocultivo con </w:t>
      </w:r>
      <w:proofErr w:type="spellStart"/>
      <w:r w:rsidR="00BC7AAE">
        <w:t>Candida</w:t>
      </w:r>
      <w:proofErr w:type="spellEnd"/>
      <w:r w:rsidR="00BC7AAE">
        <w:t xml:space="preserve"> </w:t>
      </w:r>
      <w:proofErr w:type="spellStart"/>
      <w:r w:rsidR="00BC7AAE">
        <w:t>tropicalis</w:t>
      </w:r>
      <w:proofErr w:type="spellEnd"/>
      <w:r w:rsidR="00BC7AAE">
        <w:t xml:space="preserve">, la cual responde microbiológicamente con </w:t>
      </w:r>
      <w:proofErr w:type="spellStart"/>
      <w:r w:rsidR="00BC7AAE">
        <w:t>antifúngico</w:t>
      </w:r>
      <w:proofErr w:type="spellEnd"/>
      <w:r w:rsidR="00BC7AAE">
        <w:t xml:space="preserve">. El paciente inicia falla orgánica múltiple, con insuficiencia renal que requiere diálisis peritoneal, insuficiencia hepática, </w:t>
      </w:r>
      <w:r w:rsidR="00047A53">
        <w:t>falla tiroidea secundaria</w:t>
      </w:r>
      <w:r w:rsidR="00BC7AAE">
        <w:t xml:space="preserve"> y episodios de bradicardia</w:t>
      </w:r>
      <w:r w:rsidR="00047A53">
        <w:t xml:space="preserve"> que requieren apoyo con aminas. La evolución es tórpida y se agrega alargamiento de tiempos de coagulación y </w:t>
      </w:r>
      <w:proofErr w:type="spellStart"/>
      <w:r w:rsidR="00047A53">
        <w:t>plaquetopenia</w:t>
      </w:r>
      <w:proofErr w:type="spellEnd"/>
      <w:r w:rsidR="00047A53">
        <w:t>, presentando paro cardiorrespiratorio que no responde a maniobras.</w:t>
      </w:r>
    </w:p>
    <w:p w:rsidR="008E4D6E" w:rsidRDefault="008E4D6E" w:rsidP="00C76C90"/>
    <w:p w:rsidR="008E4D6E" w:rsidRPr="008E4D6E" w:rsidRDefault="004847E7" w:rsidP="008E4D6E">
      <w:r>
        <w:rPr>
          <w:noProof/>
          <w:lang w:eastAsia="es-MX"/>
        </w:rPr>
        <w:drawing>
          <wp:inline distT="0" distB="0" distL="0" distR="0" wp14:anchorId="3424DB87" wp14:editId="0506AADB">
            <wp:extent cx="2022231" cy="13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5326" cy="1380696"/>
                    </a:xfrm>
                    <a:prstGeom prst="rect">
                      <a:avLst/>
                    </a:prstGeom>
                  </pic:spPr>
                </pic:pic>
              </a:graphicData>
            </a:graphic>
          </wp:inline>
        </w:drawing>
      </w:r>
    </w:p>
    <w:sectPr w:rsidR="008E4D6E" w:rsidRPr="008E4D6E" w:rsidSect="00830F1E">
      <w:headerReference w:type="default" r:id="rId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A1D" w:rsidRDefault="00464A1D" w:rsidP="006A2027">
      <w:pPr>
        <w:spacing w:after="0" w:line="240" w:lineRule="auto"/>
      </w:pPr>
      <w:r>
        <w:separator/>
      </w:r>
    </w:p>
  </w:endnote>
  <w:endnote w:type="continuationSeparator" w:id="0">
    <w:p w:rsidR="00464A1D" w:rsidRDefault="00464A1D"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A1D" w:rsidRDefault="00464A1D" w:rsidP="006A2027">
      <w:pPr>
        <w:spacing w:after="0" w:line="240" w:lineRule="auto"/>
      </w:pPr>
      <w:r>
        <w:separator/>
      </w:r>
    </w:p>
  </w:footnote>
  <w:footnote w:type="continuationSeparator" w:id="0">
    <w:p w:rsidR="00464A1D" w:rsidRDefault="00464A1D"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406D1"/>
    <w:rsid w:val="00043023"/>
    <w:rsid w:val="00047A53"/>
    <w:rsid w:val="00055D76"/>
    <w:rsid w:val="000813D1"/>
    <w:rsid w:val="000879EA"/>
    <w:rsid w:val="000C4CED"/>
    <w:rsid w:val="000E15EF"/>
    <w:rsid w:val="00116874"/>
    <w:rsid w:val="0015033C"/>
    <w:rsid w:val="001E7624"/>
    <w:rsid w:val="00205D39"/>
    <w:rsid w:val="00226159"/>
    <w:rsid w:val="002D02DF"/>
    <w:rsid w:val="002D169C"/>
    <w:rsid w:val="002E36B6"/>
    <w:rsid w:val="003278DA"/>
    <w:rsid w:val="00330104"/>
    <w:rsid w:val="003447CA"/>
    <w:rsid w:val="003B2D5A"/>
    <w:rsid w:val="00446A79"/>
    <w:rsid w:val="00450C93"/>
    <w:rsid w:val="00464A1D"/>
    <w:rsid w:val="004657FF"/>
    <w:rsid w:val="004847E7"/>
    <w:rsid w:val="004917F9"/>
    <w:rsid w:val="004B28C1"/>
    <w:rsid w:val="00583618"/>
    <w:rsid w:val="005B282B"/>
    <w:rsid w:val="005E569B"/>
    <w:rsid w:val="006A2027"/>
    <w:rsid w:val="00751276"/>
    <w:rsid w:val="0075153E"/>
    <w:rsid w:val="00753697"/>
    <w:rsid w:val="00762350"/>
    <w:rsid w:val="00795106"/>
    <w:rsid w:val="007E77C3"/>
    <w:rsid w:val="007F7648"/>
    <w:rsid w:val="00807818"/>
    <w:rsid w:val="00820E21"/>
    <w:rsid w:val="00830F1E"/>
    <w:rsid w:val="00884B89"/>
    <w:rsid w:val="0089119D"/>
    <w:rsid w:val="008D3534"/>
    <w:rsid w:val="008E4D6E"/>
    <w:rsid w:val="009261D6"/>
    <w:rsid w:val="009600A4"/>
    <w:rsid w:val="00993640"/>
    <w:rsid w:val="009A096B"/>
    <w:rsid w:val="00A37D2F"/>
    <w:rsid w:val="00A6170A"/>
    <w:rsid w:val="00A86582"/>
    <w:rsid w:val="00B105AF"/>
    <w:rsid w:val="00BC7AAE"/>
    <w:rsid w:val="00C00FDC"/>
    <w:rsid w:val="00C76C90"/>
    <w:rsid w:val="00CD704D"/>
    <w:rsid w:val="00D4111A"/>
    <w:rsid w:val="00D4539F"/>
    <w:rsid w:val="00DA3189"/>
    <w:rsid w:val="00E234DD"/>
    <w:rsid w:val="00E54F1B"/>
    <w:rsid w:val="00F52EE5"/>
    <w:rsid w:val="00F56C89"/>
    <w:rsid w:val="00F63EE5"/>
    <w:rsid w:val="00F92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702423D-55C9-48CA-A38F-E3462CB1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207</Words>
  <Characters>1144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28</cp:revision>
  <cp:lastPrinted>2015-03-26T20:55:00Z</cp:lastPrinted>
  <dcterms:created xsi:type="dcterms:W3CDTF">2015-03-26T17:57:00Z</dcterms:created>
  <dcterms:modified xsi:type="dcterms:W3CDTF">2015-10-15T18:36:00Z</dcterms:modified>
</cp:coreProperties>
</file>