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80836">
      <w:pPr>
        <w:pStyle w:val="Citadestacada"/>
      </w:pPr>
      <w:bookmarkStart w:id="0" w:name="_GoBack"/>
      <w:bookmarkEnd w:id="0"/>
      <w:r w:rsidRPr="005F2751">
        <w:t xml:space="preserve">Hospital Central </w:t>
      </w:r>
      <w:r w:rsidR="005F2751" w:rsidRPr="005F2751"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1A076A">
        <w:t>José Luis Alonso López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</w:t>
      </w:r>
      <w:r w:rsidR="001A076A">
        <w:rPr>
          <w:b/>
        </w:rPr>
        <w:t>defunción: 17/09/16</w:t>
      </w:r>
      <w:r w:rsidR="0010120F">
        <w:rPr>
          <w:b/>
        </w:rPr>
        <w:t xml:space="preserve"> </w:t>
      </w:r>
    </w:p>
    <w:p w:rsidR="001A076A" w:rsidRDefault="001A076A">
      <w:pPr>
        <w:rPr>
          <w:b/>
        </w:rPr>
      </w:pPr>
      <w:r>
        <w:rPr>
          <w:b/>
        </w:rPr>
        <w:lastRenderedPageBreak/>
        <w:t>Folio: 160628035</w:t>
      </w:r>
    </w:p>
    <w:p w:rsidR="001A076A" w:rsidRDefault="001A076A">
      <w:pPr>
        <w:rPr>
          <w:b/>
        </w:rPr>
        <w:sectPr w:rsidR="001A076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No. Expediente: 968397</w:t>
      </w:r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E7204" w:rsidRDefault="00B40636" w:rsidP="003E72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1A076A">
        <w:rPr>
          <w:rFonts w:ascii="Arial" w:eastAsia="Times New Roman" w:hAnsi="Arial" w:cs="Arial"/>
          <w:sz w:val="20"/>
          <w:szCs w:val="20"/>
          <w:lang w:eastAsia="es-ES"/>
        </w:rPr>
        <w:t>49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1A076A">
        <w:rPr>
          <w:rFonts w:ascii="Arial" w:eastAsia="Times New Roman" w:hAnsi="Arial" w:cs="Arial"/>
          <w:sz w:val="20"/>
          <w:szCs w:val="20"/>
          <w:lang w:eastAsia="es-ES"/>
        </w:rPr>
        <w:t xml:space="preserve">originario de Tamaulipas y residente de San Luis Potosí hace de 30 años, viajes recurrentes, ocupación chofer de tráiler, escolaridad primaria truncada, tabaquismo y etilismo positivos de larga evolución además consumo de </w:t>
      </w:r>
      <w:proofErr w:type="spellStart"/>
      <w:r w:rsidR="001A076A">
        <w:rPr>
          <w:rFonts w:ascii="Arial" w:eastAsia="Times New Roman" w:hAnsi="Arial" w:cs="Arial"/>
          <w:sz w:val="20"/>
          <w:szCs w:val="20"/>
          <w:lang w:eastAsia="es-ES"/>
        </w:rPr>
        <w:t>Acelix</w:t>
      </w:r>
      <w:proofErr w:type="spellEnd"/>
      <w:r w:rsidR="001A076A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1A076A">
        <w:rPr>
          <w:rFonts w:ascii="Arial" w:eastAsia="Times New Roman" w:hAnsi="Arial" w:cs="Arial"/>
          <w:sz w:val="20"/>
          <w:szCs w:val="20"/>
          <w:lang w:eastAsia="es-ES"/>
        </w:rPr>
        <w:t>Ritalín</w:t>
      </w:r>
      <w:proofErr w:type="spellEnd"/>
      <w:r w:rsidR="001A076A">
        <w:rPr>
          <w:rFonts w:ascii="Arial" w:eastAsia="Times New Roman" w:hAnsi="Arial" w:cs="Arial"/>
          <w:sz w:val="20"/>
          <w:szCs w:val="20"/>
          <w:lang w:eastAsia="es-ES"/>
        </w:rPr>
        <w:t xml:space="preserve">. Hipertenso de 10 años de evolución, VIH de 11 años de </w:t>
      </w:r>
      <w:proofErr w:type="spellStart"/>
      <w:r w:rsidR="001A076A">
        <w:rPr>
          <w:rFonts w:ascii="Arial" w:eastAsia="Times New Roman" w:hAnsi="Arial" w:cs="Arial"/>
          <w:sz w:val="20"/>
          <w:szCs w:val="20"/>
          <w:lang w:eastAsia="es-ES"/>
        </w:rPr>
        <w:t>diagnostico</w:t>
      </w:r>
      <w:proofErr w:type="spellEnd"/>
      <w:r w:rsidR="001A076A">
        <w:rPr>
          <w:rFonts w:ascii="Arial" w:eastAsia="Times New Roman" w:hAnsi="Arial" w:cs="Arial"/>
          <w:sz w:val="20"/>
          <w:szCs w:val="20"/>
          <w:lang w:eastAsia="es-ES"/>
        </w:rPr>
        <w:t xml:space="preserve"> manejado con </w:t>
      </w:r>
      <w:proofErr w:type="spellStart"/>
      <w:r w:rsidR="001A076A">
        <w:rPr>
          <w:rFonts w:ascii="Arial" w:eastAsia="Times New Roman" w:hAnsi="Arial" w:cs="Arial"/>
          <w:sz w:val="20"/>
          <w:szCs w:val="20"/>
          <w:lang w:eastAsia="es-ES"/>
        </w:rPr>
        <w:t>Atripla</w:t>
      </w:r>
      <w:proofErr w:type="spellEnd"/>
      <w:r w:rsidR="001A076A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1A076A" w:rsidRDefault="001A076A" w:rsidP="003E72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797508" w:rsidRDefault="001A076A" w:rsidP="00F624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Ingresa a urgencias el 11/09</w:t>
      </w:r>
      <w:r w:rsidR="003E7204">
        <w:rPr>
          <w:rFonts w:ascii="Arial" w:eastAsia="Times New Roman" w:hAnsi="Arial" w:cs="Arial"/>
          <w:sz w:val="20"/>
          <w:szCs w:val="20"/>
          <w:lang w:eastAsia="es-ES"/>
        </w:rPr>
        <w:t xml:space="preserve">/16 </w:t>
      </w:r>
      <w:r w:rsidR="00F624C7">
        <w:rPr>
          <w:rFonts w:ascii="Arial" w:eastAsia="Times New Roman" w:hAnsi="Arial" w:cs="Arial"/>
          <w:sz w:val="20"/>
          <w:szCs w:val="20"/>
          <w:lang w:eastAsia="es-ES"/>
        </w:rPr>
        <w:t xml:space="preserve">con cuadro de 2 meses de evolución con diarrea con moco y cefalea de tipo opresivo y pulsátil de predominio en región temporal bilateral, fue tratado con </w:t>
      </w:r>
      <w:proofErr w:type="spellStart"/>
      <w:r w:rsidR="00F624C7">
        <w:rPr>
          <w:rFonts w:ascii="Arial" w:eastAsia="Times New Roman" w:hAnsi="Arial" w:cs="Arial"/>
          <w:sz w:val="20"/>
          <w:szCs w:val="20"/>
          <w:lang w:eastAsia="es-ES"/>
        </w:rPr>
        <w:t>definidol</w:t>
      </w:r>
      <w:proofErr w:type="spellEnd"/>
      <w:r w:rsidR="00F624C7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624C7">
        <w:rPr>
          <w:rFonts w:ascii="Arial" w:eastAsia="Times New Roman" w:hAnsi="Arial" w:cs="Arial"/>
          <w:sz w:val="20"/>
          <w:szCs w:val="20"/>
          <w:lang w:eastAsia="es-ES"/>
        </w:rPr>
        <w:t>metamizol</w:t>
      </w:r>
      <w:proofErr w:type="spellEnd"/>
      <w:r w:rsidR="00F624C7">
        <w:rPr>
          <w:rFonts w:ascii="Arial" w:eastAsia="Times New Roman" w:hAnsi="Arial" w:cs="Arial"/>
          <w:sz w:val="20"/>
          <w:szCs w:val="20"/>
          <w:lang w:eastAsia="es-ES"/>
        </w:rPr>
        <w:t xml:space="preserve"> sódico y </w:t>
      </w:r>
      <w:proofErr w:type="spellStart"/>
      <w:r w:rsidR="00F624C7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F624C7">
        <w:rPr>
          <w:rFonts w:ascii="Arial" w:eastAsia="Times New Roman" w:hAnsi="Arial" w:cs="Arial"/>
          <w:sz w:val="20"/>
          <w:szCs w:val="20"/>
          <w:lang w:eastAsia="es-ES"/>
        </w:rPr>
        <w:t xml:space="preserve">. Una semana previa a su ingreso inició con cefalea de mayor intensidad pero de las mismas características, se agregó fiebre, </w:t>
      </w:r>
      <w:proofErr w:type="spellStart"/>
      <w:r w:rsidR="00F624C7">
        <w:rPr>
          <w:rFonts w:ascii="Arial" w:eastAsia="Times New Roman" w:hAnsi="Arial" w:cs="Arial"/>
          <w:sz w:val="20"/>
          <w:szCs w:val="20"/>
          <w:lang w:eastAsia="es-ES"/>
        </w:rPr>
        <w:t>sonofobia</w:t>
      </w:r>
      <w:proofErr w:type="spellEnd"/>
      <w:r w:rsidR="00F624C7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F624C7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F624C7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astenia y adinamia por lo que acude a esta institución. A su ingreso se encontró con deterioro neurológico, alucinaciones visuales y auditivas. Se encontró orientado en persona y desorientado en tiempo y lugar, lenguaje incoherente. Extremidades integras, simétricas, atróficas con </w:t>
      </w:r>
      <w:proofErr w:type="spellStart"/>
      <w:r w:rsidR="00F624C7">
        <w:rPr>
          <w:rFonts w:ascii="Arial" w:eastAsia="Times New Roman" w:hAnsi="Arial" w:cs="Arial"/>
          <w:sz w:val="20"/>
          <w:szCs w:val="20"/>
          <w:lang w:eastAsia="es-ES"/>
        </w:rPr>
        <w:t>sarcopenia</w:t>
      </w:r>
      <w:proofErr w:type="spellEnd"/>
      <w:r w:rsidR="00F624C7">
        <w:rPr>
          <w:rFonts w:ascii="Arial" w:eastAsia="Times New Roman" w:hAnsi="Arial" w:cs="Arial"/>
          <w:sz w:val="20"/>
          <w:szCs w:val="20"/>
          <w:lang w:eastAsia="es-ES"/>
        </w:rPr>
        <w:t xml:space="preserve">, fuerza 4/5, reflejos </w:t>
      </w:r>
      <w:r w:rsidR="00E3103F">
        <w:rPr>
          <w:rFonts w:ascii="Arial" w:eastAsia="Times New Roman" w:hAnsi="Arial" w:cs="Arial"/>
          <w:sz w:val="20"/>
          <w:szCs w:val="20"/>
          <w:lang w:eastAsia="es-ES"/>
        </w:rPr>
        <w:t xml:space="preserve">++/++++, </w:t>
      </w:r>
      <w:proofErr w:type="spellStart"/>
      <w:r w:rsidR="00E3103F">
        <w:rPr>
          <w:rFonts w:ascii="Arial" w:eastAsia="Times New Roman" w:hAnsi="Arial" w:cs="Arial"/>
          <w:sz w:val="20"/>
          <w:szCs w:val="20"/>
          <w:lang w:eastAsia="es-ES"/>
        </w:rPr>
        <w:t>Babinski</w:t>
      </w:r>
      <w:proofErr w:type="spellEnd"/>
      <w:r w:rsidR="00E3103F">
        <w:rPr>
          <w:rFonts w:ascii="Arial" w:eastAsia="Times New Roman" w:hAnsi="Arial" w:cs="Arial"/>
          <w:sz w:val="20"/>
          <w:szCs w:val="20"/>
          <w:lang w:eastAsia="es-ES"/>
        </w:rPr>
        <w:t xml:space="preserve"> positivo, resto de la exploración en rangos normales.</w:t>
      </w:r>
    </w:p>
    <w:p w:rsidR="00E3103F" w:rsidRDefault="00E3103F" w:rsidP="00F624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TAC de cráneo a su ingreso demuestra edema con </w:t>
      </w:r>
      <w:proofErr w:type="spellStart"/>
      <w:r w:rsidR="000A1156">
        <w:rPr>
          <w:rFonts w:ascii="Arial" w:eastAsia="Times New Roman" w:hAnsi="Arial" w:cs="Arial"/>
          <w:sz w:val="20"/>
          <w:szCs w:val="20"/>
          <w:lang w:eastAsia="es-ES"/>
        </w:rPr>
        <w:t>borramiento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las cisuras con aumento de la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vascularidad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parénquima con reforzamiento del mismo, no se observa desviación de la línea media. TAC de tórax con presencia de patrón micro y macro nodular, no se observan datos de atelectasia. Radiografía de tórax se observa con patrón micro</w:t>
      </w:r>
      <w:r w:rsidR="000A115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nodular generalizado, compatible con imagen miliar. LCR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predominio de mononucleares, KOH negativo, tinta china negativo</w:t>
      </w:r>
      <w:r w:rsidR="0011284F">
        <w:rPr>
          <w:rFonts w:ascii="Arial" w:eastAsia="Times New Roman" w:hAnsi="Arial" w:cs="Arial"/>
          <w:sz w:val="20"/>
          <w:szCs w:val="20"/>
          <w:lang w:eastAsia="es-ES"/>
        </w:rPr>
        <w:t>. El 13/09/16 se real</w:t>
      </w:r>
      <w:r w:rsidR="000A1156">
        <w:rPr>
          <w:rFonts w:ascii="Arial" w:eastAsia="Times New Roman" w:hAnsi="Arial" w:cs="Arial"/>
          <w:sz w:val="20"/>
          <w:szCs w:val="20"/>
          <w:lang w:eastAsia="es-ES"/>
        </w:rPr>
        <w:t>iza punció</w:t>
      </w:r>
      <w:r w:rsidR="0011284F">
        <w:rPr>
          <w:rFonts w:ascii="Arial" w:eastAsia="Times New Roman" w:hAnsi="Arial" w:cs="Arial"/>
          <w:sz w:val="20"/>
          <w:szCs w:val="20"/>
          <w:lang w:eastAsia="es-ES"/>
        </w:rPr>
        <w:t xml:space="preserve">n lumbar de control, se inicia tratamiento antituberculoso. El 15/09/16 se reporte paciente inestable, tendiente a la hipertensión, </w:t>
      </w:r>
      <w:proofErr w:type="spellStart"/>
      <w:r w:rsidR="0011284F">
        <w:rPr>
          <w:rFonts w:ascii="Arial" w:eastAsia="Times New Roman" w:hAnsi="Arial" w:cs="Arial"/>
          <w:sz w:val="20"/>
          <w:szCs w:val="20"/>
          <w:lang w:eastAsia="es-ES"/>
        </w:rPr>
        <w:t>hiporreactivo</w:t>
      </w:r>
      <w:proofErr w:type="spellEnd"/>
      <w:r w:rsidR="0011284F">
        <w:rPr>
          <w:rFonts w:ascii="Arial" w:eastAsia="Times New Roman" w:hAnsi="Arial" w:cs="Arial"/>
          <w:sz w:val="20"/>
          <w:szCs w:val="20"/>
          <w:lang w:eastAsia="es-ES"/>
        </w:rPr>
        <w:t xml:space="preserve">, con pobre respuesta a estímulos, no es capaz de fijar la mirada y no obedece comandos simples. Evoluciona tórpidamente con deterioro ventilatorio, se decide intubación </w:t>
      </w:r>
      <w:proofErr w:type="spellStart"/>
      <w:r w:rsidR="0011284F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11284F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reporta evento de paro </w:t>
      </w:r>
      <w:proofErr w:type="spellStart"/>
      <w:r w:rsidR="0011284F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11284F">
        <w:rPr>
          <w:rFonts w:ascii="Arial" w:eastAsia="Times New Roman" w:hAnsi="Arial" w:cs="Arial"/>
          <w:sz w:val="20"/>
          <w:szCs w:val="20"/>
          <w:lang w:eastAsia="es-ES"/>
        </w:rPr>
        <w:t xml:space="preserve"> en dos ocasiones, los cuales cedieron ante maniobras de reanimación avanzada, se coloca catéter venoso central, se reporta paciente grave</w:t>
      </w:r>
      <w:r w:rsidR="00E86BBB">
        <w:rPr>
          <w:rFonts w:ascii="Arial" w:eastAsia="Times New Roman" w:hAnsi="Arial" w:cs="Arial"/>
          <w:sz w:val="20"/>
          <w:szCs w:val="20"/>
          <w:lang w:eastAsia="es-ES"/>
        </w:rPr>
        <w:t xml:space="preserve">, se informa a familiares. Se comenta cuadro compatible con muerte cerebral, familiares no aceptan maniobras de reanimación en caso de ser necesarias nuevamente. Presenta paro </w:t>
      </w:r>
      <w:proofErr w:type="spellStart"/>
      <w:r w:rsidR="00E86BBB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E86BBB">
        <w:rPr>
          <w:rFonts w:ascii="Arial" w:eastAsia="Times New Roman" w:hAnsi="Arial" w:cs="Arial"/>
          <w:sz w:val="20"/>
          <w:szCs w:val="20"/>
          <w:lang w:eastAsia="es-ES"/>
        </w:rPr>
        <w:t xml:space="preserve"> el 17/09716, se dictamina hora de defunción a las 11:45 horas.</w:t>
      </w:r>
    </w:p>
    <w:p w:rsidR="00C03F90" w:rsidRDefault="000A1156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adjunta resultado de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LCR ,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no se observaron formas bacterianas. PCR no detectable reportada por vía telefónica.</w:t>
      </w:r>
    </w:p>
    <w:p w:rsidR="000A1156" w:rsidRDefault="000A1156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Pr="00E76CE2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03F90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797508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>
        <w:rPr>
          <w:b/>
        </w:rPr>
        <w:lastRenderedPageBreak/>
        <w:t>Dx</w:t>
      </w:r>
      <w:proofErr w:type="spellEnd"/>
      <w:r w:rsidR="008D0A22" w:rsidRPr="00B576DA">
        <w:rPr>
          <w:b/>
        </w:rPr>
        <w:t>:</w:t>
      </w:r>
    </w:p>
    <w:p w:rsidR="00D26570" w:rsidRDefault="00E86BBB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Tuberculosis Miliar</w:t>
      </w:r>
    </w:p>
    <w:p w:rsidR="00E86BBB" w:rsidRDefault="00E86BBB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Infeccion</w:t>
      </w:r>
      <w:proofErr w:type="spellEnd"/>
      <w:r>
        <w:rPr>
          <w:rFonts w:ascii="Arial" w:hAnsi="Arial" w:cs="Arial"/>
          <w:sz w:val="20"/>
          <w:szCs w:val="20"/>
        </w:rPr>
        <w:t xml:space="preserve"> por VIH</w:t>
      </w: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A03E37" w:rsidRDefault="00A03E3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0A1156" w:rsidRDefault="00C1185D" w:rsidP="000A115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0A1156" w:rsidRDefault="002A5A1B" w:rsidP="000A115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b/>
        </w:rPr>
        <w:lastRenderedPageBreak/>
        <w:t>Epidemiología</w:t>
      </w:r>
    </w:p>
    <w:p w:rsidR="006B6CB2" w:rsidRDefault="006B6CB2"/>
    <w:p w:rsidR="006B6CB2" w:rsidRDefault="006B6CB2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1156"/>
    <w:rsid w:val="000A61C5"/>
    <w:rsid w:val="000B3362"/>
    <w:rsid w:val="000E0D8C"/>
    <w:rsid w:val="000E20CF"/>
    <w:rsid w:val="0010120F"/>
    <w:rsid w:val="0011284F"/>
    <w:rsid w:val="00127A80"/>
    <w:rsid w:val="00166C83"/>
    <w:rsid w:val="00191CF2"/>
    <w:rsid w:val="001A076A"/>
    <w:rsid w:val="001A7C1B"/>
    <w:rsid w:val="001D00D1"/>
    <w:rsid w:val="001F65C7"/>
    <w:rsid w:val="00200546"/>
    <w:rsid w:val="0021456C"/>
    <w:rsid w:val="0026716F"/>
    <w:rsid w:val="0027676B"/>
    <w:rsid w:val="00291F8E"/>
    <w:rsid w:val="0029613F"/>
    <w:rsid w:val="002A5A1B"/>
    <w:rsid w:val="002B6B7F"/>
    <w:rsid w:val="002D3E76"/>
    <w:rsid w:val="002E7F8F"/>
    <w:rsid w:val="00327368"/>
    <w:rsid w:val="0033779E"/>
    <w:rsid w:val="0036701C"/>
    <w:rsid w:val="00384004"/>
    <w:rsid w:val="0039164B"/>
    <w:rsid w:val="00394396"/>
    <w:rsid w:val="003D25B1"/>
    <w:rsid w:val="003E7204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2248"/>
    <w:rsid w:val="006B6CB2"/>
    <w:rsid w:val="006D36AC"/>
    <w:rsid w:val="006E2958"/>
    <w:rsid w:val="00701AA7"/>
    <w:rsid w:val="007329D2"/>
    <w:rsid w:val="007541B8"/>
    <w:rsid w:val="00756A12"/>
    <w:rsid w:val="00773A84"/>
    <w:rsid w:val="007754BF"/>
    <w:rsid w:val="00786698"/>
    <w:rsid w:val="00787536"/>
    <w:rsid w:val="00794D42"/>
    <w:rsid w:val="00797508"/>
    <w:rsid w:val="007B17CB"/>
    <w:rsid w:val="00856BA7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C05D5"/>
    <w:rsid w:val="00A03E37"/>
    <w:rsid w:val="00A161C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95F39"/>
    <w:rsid w:val="00D049DD"/>
    <w:rsid w:val="00D26570"/>
    <w:rsid w:val="00D37386"/>
    <w:rsid w:val="00D466F7"/>
    <w:rsid w:val="00D73328"/>
    <w:rsid w:val="00D76CF9"/>
    <w:rsid w:val="00D97ABA"/>
    <w:rsid w:val="00DB37D1"/>
    <w:rsid w:val="00DE3325"/>
    <w:rsid w:val="00E27041"/>
    <w:rsid w:val="00E3103F"/>
    <w:rsid w:val="00E31F7F"/>
    <w:rsid w:val="00E70BFF"/>
    <w:rsid w:val="00E76CE2"/>
    <w:rsid w:val="00E86BBB"/>
    <w:rsid w:val="00EF22C5"/>
    <w:rsid w:val="00EF31AE"/>
    <w:rsid w:val="00EF3A73"/>
    <w:rsid w:val="00F03E78"/>
    <w:rsid w:val="00F429F3"/>
    <w:rsid w:val="00F52C6A"/>
    <w:rsid w:val="00F543E8"/>
    <w:rsid w:val="00F624C7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4CDD-26F5-4F03-A964-A3E3D5DD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2016-09-19T18:18:00Z</dcterms:created>
  <dcterms:modified xsi:type="dcterms:W3CDTF">2016-09-19T18:18:00Z</dcterms:modified>
</cp:coreProperties>
</file>