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3E33AE">
        <w:t>Cristopher Martínez Castillo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E33AE">
        <w:t>19/03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E33AE">
        <w:rPr>
          <w:b/>
        </w:rPr>
        <w:t>170640944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637E3" w:rsidRDefault="008D0A22" w:rsidP="003E33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E33AE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de edad, antecedente de epidermólisis bullosa </w:t>
      </w:r>
      <w:proofErr w:type="spellStart"/>
      <w:r w:rsidR="003E33AE">
        <w:rPr>
          <w:rFonts w:ascii="Arial" w:eastAsia="Times New Roman" w:hAnsi="Arial" w:cs="Arial"/>
          <w:sz w:val="20"/>
          <w:szCs w:val="20"/>
          <w:lang w:eastAsia="es-ES"/>
        </w:rPr>
        <w:t>anhídrica</w:t>
      </w:r>
      <w:proofErr w:type="spellEnd"/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, desnutrición severa e hipoparatiroidismo, originario de la capital de San Luis Potosí, esquema de vacunación incompleto, peso por debajo de la </w:t>
      </w:r>
      <w:proofErr w:type="spellStart"/>
      <w:r w:rsidR="003E33AE">
        <w:rPr>
          <w:rFonts w:ascii="Arial" w:eastAsia="Times New Roman" w:hAnsi="Arial" w:cs="Arial"/>
          <w:sz w:val="20"/>
          <w:szCs w:val="20"/>
          <w:lang w:eastAsia="es-ES"/>
        </w:rPr>
        <w:t>percentila</w:t>
      </w:r>
      <w:proofErr w:type="spellEnd"/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 5 para la edad, producto de la gesta 3, </w:t>
      </w:r>
      <w:proofErr w:type="spellStart"/>
      <w:r w:rsidR="003E33AE">
        <w:rPr>
          <w:rFonts w:ascii="Arial" w:eastAsia="Times New Roman" w:hAnsi="Arial" w:cs="Arial"/>
          <w:sz w:val="20"/>
          <w:szCs w:val="20"/>
          <w:lang w:eastAsia="es-ES"/>
        </w:rPr>
        <w:t>normoevolutivo</w:t>
      </w:r>
      <w:proofErr w:type="spellEnd"/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, control prenatal en 9 consultas, con 3 ultrasonidos normales, adecuada ingesta de micronutrientes desde el primer mes de embarazo, EL 05/10/11 se obtuvo por vía abdominal en IMSS S.L.P., por DCP, registrando un peso de 3500 gramos, sin </w:t>
      </w:r>
      <w:r w:rsidR="00025D61">
        <w:rPr>
          <w:rFonts w:ascii="Arial" w:eastAsia="Times New Roman" w:hAnsi="Arial" w:cs="Arial"/>
          <w:sz w:val="20"/>
          <w:szCs w:val="20"/>
          <w:lang w:eastAsia="es-ES"/>
        </w:rPr>
        <w:t>datos de asfixia perinatal, tami</w:t>
      </w:r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z metabólico y aditivo normales, internamiento al nacer por </w:t>
      </w:r>
      <w:proofErr w:type="spellStart"/>
      <w:r w:rsidR="003E33AE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3E33AE">
        <w:rPr>
          <w:rFonts w:ascii="Arial" w:eastAsia="Times New Roman" w:hAnsi="Arial" w:cs="Arial"/>
          <w:sz w:val="20"/>
          <w:szCs w:val="20"/>
          <w:lang w:eastAsia="es-ES"/>
        </w:rPr>
        <w:t xml:space="preserve"> multifactorial tratada con fototerapia.</w:t>
      </w:r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Presentó lesiones dermatológicas especificadas como ámpulas y máculas generalizadas a las pocas horas de vida extrauterina, la madre las atribuyó a la fototerapia, egresándose sin algún diagnóstico relacionado. Acudió a consulta dermatológica el 20/11/11, donde aparentemente se realizan estudios </w:t>
      </w:r>
      <w:r w:rsidR="00025D61">
        <w:rPr>
          <w:rFonts w:ascii="Arial" w:eastAsia="Times New Roman" w:hAnsi="Arial" w:cs="Arial"/>
          <w:sz w:val="20"/>
          <w:szCs w:val="20"/>
          <w:lang w:eastAsia="es-ES"/>
        </w:rPr>
        <w:t>pero</w:t>
      </w:r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aún sin algún diagnóstico. Cumplido el prime</w:t>
      </w:r>
      <w:r w:rsidR="00025D61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año de vida acudió al Hospital Central al servicio de Dermatología en el que realizaron diagnóstico de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Epidermolisis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Bullosa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Anhídrica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, manejada a base de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Caliderm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Premium (urea,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alantoína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y lípidos)durante el seguimiento por Dermatología se detectaron hipocalcemias recurrentes por lo que se decidió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interconsultar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25D61">
        <w:rPr>
          <w:rFonts w:ascii="Arial" w:eastAsia="Times New Roman" w:hAnsi="Arial" w:cs="Arial"/>
          <w:sz w:val="20"/>
          <w:szCs w:val="20"/>
          <w:lang w:eastAsia="es-ES"/>
        </w:rPr>
        <w:t>a Endocrinología dónde se diagnosticó</w:t>
      </w:r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Hipoparatiroidismo, iniciando manejo con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calcitriol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y vitaminas A,C,D con mal apego </w:t>
      </w:r>
      <w:proofErr w:type="spellStart"/>
      <w:r w:rsidR="00651903">
        <w:rPr>
          <w:rFonts w:ascii="Arial" w:eastAsia="Times New Roman" w:hAnsi="Arial" w:cs="Arial"/>
          <w:sz w:val="20"/>
          <w:szCs w:val="20"/>
          <w:lang w:eastAsia="es-ES"/>
        </w:rPr>
        <w:t>altratamiento</w:t>
      </w:r>
      <w:proofErr w:type="spellEnd"/>
      <w:r w:rsidR="00651903">
        <w:rPr>
          <w:rFonts w:ascii="Arial" w:eastAsia="Times New Roman" w:hAnsi="Arial" w:cs="Arial"/>
          <w:sz w:val="20"/>
          <w:szCs w:val="20"/>
          <w:lang w:eastAsia="es-ES"/>
        </w:rPr>
        <w:t xml:space="preserve"> y al seguimiento ya que última consulta fue hace un año.</w:t>
      </w:r>
    </w:p>
    <w:p w:rsidR="000A173B" w:rsidRDefault="00651903" w:rsidP="003E33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el 11/03/17 notando la madre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hiporreactivo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ligeramente deshidratado, acudiendo al día posterior a valoración a este Hospital. A su ingreso el 12/03/17 por el servicio de urgencias se encontraron los siguientes signos vitales: FR 52, FC 113, SO2 91%,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con datos de deshidratación moderada por lo que se inició carga a 15 ml/kg con la cuál mejoró parcialmente. A la exploración física</w:t>
      </w:r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hiporreactivo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, palidez generalizada, cráneo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normocefalo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, pupilas asimétricas y reactivas, conjuntivas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hipocrómicas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, faringe no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hiperémica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, cuello sin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adenomegalias,precordio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rítmico sin fenómenos agregados,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auscultaron estertores finos </w:t>
      </w:r>
      <w:r w:rsidR="00025D61">
        <w:rPr>
          <w:rFonts w:ascii="Arial" w:eastAsia="Times New Roman" w:hAnsi="Arial" w:cs="Arial"/>
          <w:sz w:val="20"/>
          <w:szCs w:val="20"/>
          <w:lang w:eastAsia="es-ES"/>
        </w:rPr>
        <w:t>ambos campos pulmonares y di</w:t>
      </w:r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seminados, por lo que se solicitó radiografía de tórax donde se apreció infiltrados generalizados en ambos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con aumento de la trama vascular, abdomen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asignológico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, extremidades sin compromisos y llenado capilar de 2 segundos. Se decidió ingreso a pediatría escolares con diagnóstico de NAC + Anemia en Estudio +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Epidermolisis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Bullosa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Anhídrica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+ Hipoparatiroidismo + Desnutrición Severa, se inició manejo a base de Ampicilina a razón de 200 mg/kg, se transfundieron hemoderivados. Posteriormente durante su internamiento ante su mala evoluc</w:t>
      </w:r>
      <w:r w:rsidR="007F6CF7">
        <w:rPr>
          <w:rFonts w:ascii="Arial" w:eastAsia="Times New Roman" w:hAnsi="Arial" w:cs="Arial"/>
          <w:sz w:val="20"/>
          <w:szCs w:val="20"/>
          <w:lang w:eastAsia="es-ES"/>
        </w:rPr>
        <w:t>ión se decidió cambiar esquema antibiótico</w:t>
      </w:r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 a base de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0A173B">
        <w:rPr>
          <w:rFonts w:ascii="Arial" w:eastAsia="Times New Roman" w:hAnsi="Arial" w:cs="Arial"/>
          <w:sz w:val="20"/>
          <w:szCs w:val="20"/>
          <w:lang w:eastAsia="es-ES"/>
        </w:rPr>
        <w:t xml:space="preserve">/ </w:t>
      </w:r>
      <w:proofErr w:type="spellStart"/>
      <w:r w:rsidR="000A173B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, se realizó biometría hemática en la que destacó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6.2 por lo que ameritó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hemotransfusión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. Durante su hospitalización presentó deterioro ventilatorio por lo que el 13/03/17 se realizó intubación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y se decidió su pase a sala de Terapia Intensiva Pediátrica donde evolucionó tórpidamente, requiriendo parámetros altos de ventilación mecánica asistida, además requiriendo manejo intensivo para broncoespasmo a base de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Aminofilina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Metilprednisona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>, Salbutamol en infusión y Sulfato de Magnesio, posteriormente se documentó falla renal aguda</w:t>
      </w:r>
      <w:r w:rsidR="007F6CF7">
        <w:rPr>
          <w:rFonts w:ascii="Arial" w:eastAsia="Times New Roman" w:hAnsi="Arial" w:cs="Arial"/>
          <w:sz w:val="20"/>
          <w:szCs w:val="20"/>
          <w:lang w:eastAsia="es-ES"/>
        </w:rPr>
        <w:t xml:space="preserve"> q produjo anu</w:t>
      </w:r>
      <w:r w:rsidR="0074661E">
        <w:rPr>
          <w:rFonts w:ascii="Arial" w:eastAsia="Times New Roman" w:hAnsi="Arial" w:cs="Arial"/>
          <w:sz w:val="20"/>
          <w:szCs w:val="20"/>
          <w:lang w:eastAsia="es-ES"/>
        </w:rPr>
        <w:t>ria desde el 18/03/17 por la noche sin respuest</w:t>
      </w:r>
      <w:r w:rsidR="007F6CF7">
        <w:rPr>
          <w:rFonts w:ascii="Arial" w:eastAsia="Times New Roman" w:hAnsi="Arial" w:cs="Arial"/>
          <w:sz w:val="20"/>
          <w:szCs w:val="20"/>
          <w:lang w:eastAsia="es-ES"/>
        </w:rPr>
        <w:t>a a manejo a base de infusión continua</w:t>
      </w:r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4661E">
        <w:rPr>
          <w:rFonts w:ascii="Arial" w:eastAsia="Times New Roman" w:hAnsi="Arial" w:cs="Arial"/>
          <w:sz w:val="20"/>
          <w:szCs w:val="20"/>
          <w:lang w:eastAsia="es-ES"/>
        </w:rPr>
        <w:t>Bumentina</w:t>
      </w:r>
      <w:proofErr w:type="spellEnd"/>
      <w:r w:rsidR="0074661E">
        <w:rPr>
          <w:rFonts w:ascii="Arial" w:eastAsia="Times New Roman" w:hAnsi="Arial" w:cs="Arial"/>
          <w:sz w:val="20"/>
          <w:szCs w:val="20"/>
          <w:lang w:eastAsia="es-ES"/>
        </w:rPr>
        <w:t xml:space="preserve"> en bolos. El paciente se reportó con deterioro hemodinámico y Choque Séptico</w:t>
      </w:r>
      <w:r w:rsidR="008C44E3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aminas </w:t>
      </w:r>
      <w:proofErr w:type="spellStart"/>
      <w:r w:rsidR="008C44E3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8C44E3">
        <w:rPr>
          <w:rFonts w:ascii="Arial" w:eastAsia="Times New Roman" w:hAnsi="Arial" w:cs="Arial"/>
          <w:sz w:val="20"/>
          <w:szCs w:val="20"/>
          <w:lang w:eastAsia="es-ES"/>
        </w:rPr>
        <w:t xml:space="preserve"> y Norepinefrina, por lo que se indicó Vasopresina sin adecuada respuesta. El 19/03/17 sin lograr mantener tensión arterial media deseable a pesar de manejo intensivo con aminas, aun en anuria, broncoespasmo importante y retención de CO2 con acidosis respiratoria</w:t>
      </w:r>
      <w:r w:rsidR="007F6CF7">
        <w:rPr>
          <w:rFonts w:ascii="Arial" w:eastAsia="Times New Roman" w:hAnsi="Arial" w:cs="Arial"/>
          <w:sz w:val="20"/>
          <w:szCs w:val="20"/>
          <w:lang w:eastAsia="es-ES"/>
        </w:rPr>
        <w:t>,</w:t>
      </w:r>
      <w:bookmarkStart w:id="0" w:name="_GoBack"/>
      <w:bookmarkEnd w:id="0"/>
      <w:r w:rsidR="008C44E3">
        <w:rPr>
          <w:rFonts w:ascii="Arial" w:eastAsia="Times New Roman" w:hAnsi="Arial" w:cs="Arial"/>
          <w:sz w:val="20"/>
          <w:szCs w:val="20"/>
          <w:lang w:eastAsia="es-ES"/>
        </w:rPr>
        <w:t xml:space="preserve"> a las 14:10 horas inició con bradicardia que persistió por aproximadamente 5 minutos, posteriormente en paro </w:t>
      </w:r>
      <w:proofErr w:type="spellStart"/>
      <w:r w:rsidR="008C44E3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8C44E3">
        <w:rPr>
          <w:rFonts w:ascii="Arial" w:eastAsia="Times New Roman" w:hAnsi="Arial" w:cs="Arial"/>
          <w:sz w:val="20"/>
          <w:szCs w:val="20"/>
          <w:lang w:eastAsia="es-ES"/>
        </w:rPr>
        <w:t xml:space="preserve">, se dictaminó la </w:t>
      </w:r>
      <w:r w:rsidR="008C44E3">
        <w:rPr>
          <w:rFonts w:ascii="Arial" w:eastAsia="Times New Roman" w:hAnsi="Arial" w:cs="Arial"/>
          <w:sz w:val="20"/>
          <w:szCs w:val="20"/>
          <w:lang w:eastAsia="es-ES"/>
        </w:rPr>
        <w:lastRenderedPageBreak/>
        <w:t>defunción a las 14:15 horas ante la ausencia de pulso palpable y asistolia identificada en el monitor cardiaco.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5557BB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>
        <w:rPr>
          <w:rFonts w:ascii="Arial" w:hAnsi="Arial" w:cs="Arial"/>
          <w:sz w:val="20"/>
          <w:szCs w:val="20"/>
        </w:rPr>
        <w:tab/>
        <w:t>(A419)</w:t>
      </w:r>
    </w:p>
    <w:p w:rsidR="005557BB" w:rsidRDefault="005557BB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Distres</w:t>
      </w:r>
      <w:proofErr w:type="spellEnd"/>
      <w:r>
        <w:rPr>
          <w:rFonts w:ascii="Arial" w:hAnsi="Arial" w:cs="Arial"/>
          <w:sz w:val="20"/>
          <w:szCs w:val="20"/>
        </w:rPr>
        <w:t xml:space="preserve"> Respiratorio Agudo</w:t>
      </w:r>
      <w:r>
        <w:rPr>
          <w:rFonts w:ascii="Arial" w:hAnsi="Arial" w:cs="Arial"/>
          <w:sz w:val="20"/>
          <w:szCs w:val="20"/>
        </w:rPr>
        <w:tab/>
        <w:t>(J960)</w:t>
      </w:r>
    </w:p>
    <w:p w:rsidR="005557BB" w:rsidRDefault="005557BB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Falla Renal Aguda</w:t>
      </w:r>
    </w:p>
    <w:p w:rsidR="005557BB" w:rsidRDefault="005557BB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Adquirida en la Comunidad</w:t>
      </w:r>
      <w:r w:rsidR="00C80DB4">
        <w:rPr>
          <w:rFonts w:ascii="Arial" w:hAnsi="Arial" w:cs="Arial"/>
          <w:sz w:val="20"/>
          <w:szCs w:val="20"/>
        </w:rPr>
        <w:tab/>
        <w:t>(J189)</w:t>
      </w:r>
    </w:p>
    <w:p w:rsidR="005557BB" w:rsidRDefault="005557BB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Hipoparatiroidismo</w:t>
      </w:r>
      <w:r w:rsidR="00C80DB4">
        <w:rPr>
          <w:rFonts w:ascii="Arial" w:hAnsi="Arial" w:cs="Arial"/>
          <w:sz w:val="20"/>
          <w:szCs w:val="20"/>
        </w:rPr>
        <w:tab/>
        <w:t>(E29)</w:t>
      </w:r>
    </w:p>
    <w:p w:rsidR="005557BB" w:rsidRDefault="005557BB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Epidermolisis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Anhídrica</w:t>
      </w:r>
      <w:proofErr w:type="spellEnd"/>
      <w:r w:rsidR="00C80DB4">
        <w:rPr>
          <w:rFonts w:ascii="Arial" w:hAnsi="Arial" w:cs="Arial"/>
          <w:sz w:val="20"/>
          <w:szCs w:val="20"/>
        </w:rPr>
        <w:tab/>
        <w:t>(Q818)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9D" w:rsidRDefault="005C059D" w:rsidP="00EF2D4E">
      <w:pPr>
        <w:spacing w:after="0" w:line="240" w:lineRule="auto"/>
      </w:pPr>
      <w:r>
        <w:separator/>
      </w:r>
    </w:p>
  </w:endnote>
  <w:endnote w:type="continuationSeparator" w:id="0">
    <w:p w:rsidR="005C059D" w:rsidRDefault="005C059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9D" w:rsidRDefault="005C059D" w:rsidP="00EF2D4E">
      <w:pPr>
        <w:spacing w:after="0" w:line="240" w:lineRule="auto"/>
      </w:pPr>
      <w:r>
        <w:separator/>
      </w:r>
    </w:p>
  </w:footnote>
  <w:footnote w:type="continuationSeparator" w:id="0">
    <w:p w:rsidR="005C059D" w:rsidRDefault="005C059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25D61"/>
    <w:rsid w:val="00040E57"/>
    <w:rsid w:val="000A173B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E33AE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57BB"/>
    <w:rsid w:val="00562D52"/>
    <w:rsid w:val="00564341"/>
    <w:rsid w:val="005767B8"/>
    <w:rsid w:val="00595DF3"/>
    <w:rsid w:val="005A20B0"/>
    <w:rsid w:val="005C059D"/>
    <w:rsid w:val="005C3C95"/>
    <w:rsid w:val="005C46F3"/>
    <w:rsid w:val="005D6F0C"/>
    <w:rsid w:val="005F2751"/>
    <w:rsid w:val="00610202"/>
    <w:rsid w:val="00613411"/>
    <w:rsid w:val="00630AF9"/>
    <w:rsid w:val="00651903"/>
    <w:rsid w:val="00677F06"/>
    <w:rsid w:val="006B6CB2"/>
    <w:rsid w:val="006D01F6"/>
    <w:rsid w:val="006D36AC"/>
    <w:rsid w:val="007329D2"/>
    <w:rsid w:val="0074661E"/>
    <w:rsid w:val="007541B8"/>
    <w:rsid w:val="007754BF"/>
    <w:rsid w:val="00786698"/>
    <w:rsid w:val="00787536"/>
    <w:rsid w:val="00794D42"/>
    <w:rsid w:val="007F6CF7"/>
    <w:rsid w:val="0080435F"/>
    <w:rsid w:val="00823D60"/>
    <w:rsid w:val="0084701B"/>
    <w:rsid w:val="00864693"/>
    <w:rsid w:val="0088293F"/>
    <w:rsid w:val="00884AA7"/>
    <w:rsid w:val="00892E13"/>
    <w:rsid w:val="008C44E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0370"/>
    <w:rsid w:val="00C1185D"/>
    <w:rsid w:val="00C3697F"/>
    <w:rsid w:val="00C428BD"/>
    <w:rsid w:val="00C535A0"/>
    <w:rsid w:val="00C7137F"/>
    <w:rsid w:val="00C80DB4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55164"/>
    <w:rsid w:val="00F74D42"/>
    <w:rsid w:val="00F8042A"/>
    <w:rsid w:val="00F845C8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2BA2-913C-4307-A394-BD75698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MEDICINA PREVENTIVA</dc:creator>
  <cp:lastModifiedBy>Epidemiología</cp:lastModifiedBy>
  <cp:revision>6</cp:revision>
  <dcterms:created xsi:type="dcterms:W3CDTF">2017-03-24T21:10:00Z</dcterms:created>
  <dcterms:modified xsi:type="dcterms:W3CDTF">2017-03-28T17:42:00Z</dcterms:modified>
</cp:coreProperties>
</file>