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2B416E">
        <w:t xml:space="preserve">Ma. </w:t>
      </w:r>
      <w:proofErr w:type="spellStart"/>
      <w:r w:rsidR="002B416E">
        <w:t>Eulogia</w:t>
      </w:r>
      <w:proofErr w:type="spellEnd"/>
      <w:r w:rsidR="002B416E">
        <w:t xml:space="preserve"> </w:t>
      </w:r>
      <w:proofErr w:type="spellStart"/>
      <w:r w:rsidR="002B416E">
        <w:t>Sandate</w:t>
      </w:r>
      <w:proofErr w:type="spellEnd"/>
      <w:r w:rsidR="002B416E">
        <w:t xml:space="preserve"> Lozano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B416E">
        <w:t>16/05/2017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B416E">
        <w:rPr>
          <w:b/>
        </w:rPr>
        <w:t>170642294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9651B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2B416E">
        <w:rPr>
          <w:rFonts w:ascii="Arial" w:eastAsia="Times New Roman" w:hAnsi="Arial" w:cs="Arial"/>
          <w:sz w:val="20"/>
          <w:szCs w:val="20"/>
          <w:lang w:eastAsia="es-ES"/>
        </w:rPr>
        <w:t>54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 de Carmona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casada, escolaridad tercer año de primaria, toxicomanías negativas, exposición a biomasa desde la infancia (humo de leña), enfermedades </w:t>
      </w:r>
      <w:proofErr w:type="spell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crónicodegenerativas</w:t>
      </w:r>
      <w:proofErr w:type="spell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 negadas, no alérgicos, quirúrgicos, traumáticos, transfusionales u hospitalizaciones previas. Respecto a los antecedentes ginecológicos se desconoce </w:t>
      </w:r>
      <w:proofErr w:type="spell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menarca</w:t>
      </w:r>
      <w:proofErr w:type="spell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 y climaterio, G</w:t>
      </w:r>
      <w:proofErr w:type="gram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:8</w:t>
      </w:r>
      <w:proofErr w:type="gram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 P:8 A:0 C</w:t>
      </w:r>
      <w:proofErr w:type="gram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:0</w:t>
      </w:r>
      <w:proofErr w:type="gram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9651B">
        <w:rPr>
          <w:rFonts w:ascii="Arial" w:eastAsia="Times New Roman" w:hAnsi="Arial" w:cs="Arial"/>
          <w:sz w:val="20"/>
          <w:szCs w:val="20"/>
          <w:lang w:eastAsia="es-ES"/>
        </w:rPr>
        <w:t>Papanicolau</w:t>
      </w:r>
      <w:proofErr w:type="spellEnd"/>
      <w:r w:rsidR="00D9651B">
        <w:rPr>
          <w:rFonts w:ascii="Arial" w:eastAsia="Times New Roman" w:hAnsi="Arial" w:cs="Arial"/>
          <w:sz w:val="20"/>
          <w:szCs w:val="20"/>
          <w:lang w:eastAsia="es-ES"/>
        </w:rPr>
        <w:t xml:space="preserve"> y mastografías durante último año normales.</w:t>
      </w:r>
    </w:p>
    <w:p w:rsidR="00231948" w:rsidRDefault="00D9651B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actual hace un mes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 xml:space="preserve"> aproximadamente con dolor abdo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minal, cefalea, náusea y vómito posterior a alimentos durante 3 semanas, la cefalea era de predominio frontal y occipital, tipo pulsátil que disminuía con la administración de paracetamol y reposo. Posteriormente se agregó fiebre intermitente, no registrada con termómetro, escalofríos y sudoración nocturna. Durante la última semana previa a su ingreso a este hospital inició con desorientación, alucinaciones visuales, postración permanente en cama, rechazo a la vía oral, incontinencia urinaria,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hiporreactividad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somnolencia por lo que fue trasladada a clínica particular en donde se inició abordaje del deterioro neurológico. </w:t>
      </w:r>
      <w:r w:rsidR="00DF7B8E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le realizó serología pa</w:t>
      </w:r>
      <w:r w:rsidR="00DF7B8E">
        <w:rPr>
          <w:rFonts w:ascii="Arial" w:eastAsia="Times New Roman" w:hAnsi="Arial" w:cs="Arial"/>
          <w:sz w:val="20"/>
          <w:szCs w:val="20"/>
          <w:lang w:eastAsia="es-ES"/>
        </w:rPr>
        <w:t xml:space="preserve">ra 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VIH la cual resultó negativa así</w:t>
      </w:r>
      <w:r w:rsidR="00DF7B8E">
        <w:rPr>
          <w:rFonts w:ascii="Arial" w:eastAsia="Times New Roman" w:hAnsi="Arial" w:cs="Arial"/>
          <w:sz w:val="20"/>
          <w:szCs w:val="20"/>
          <w:lang w:eastAsia="es-ES"/>
        </w:rPr>
        <w:t xml:space="preserve"> como punción lumbar la cual reportó </w:t>
      </w:r>
      <w:proofErr w:type="spellStart"/>
      <w:r w:rsidR="00DF7B8E">
        <w:rPr>
          <w:rFonts w:ascii="Arial" w:eastAsia="Times New Roman" w:hAnsi="Arial" w:cs="Arial"/>
          <w:sz w:val="20"/>
          <w:szCs w:val="20"/>
          <w:lang w:eastAsia="es-ES"/>
        </w:rPr>
        <w:t>celularidad</w:t>
      </w:r>
      <w:proofErr w:type="spellEnd"/>
      <w:r w:rsidR="00DF7B8E">
        <w:rPr>
          <w:rFonts w:ascii="Arial" w:eastAsia="Times New Roman" w:hAnsi="Arial" w:cs="Arial"/>
          <w:sz w:val="20"/>
          <w:szCs w:val="20"/>
          <w:lang w:eastAsia="es-ES"/>
        </w:rPr>
        <w:t xml:space="preserve"> 290, leucos 190, PMN 80%, MN 20%, </w:t>
      </w:r>
      <w:proofErr w:type="spellStart"/>
      <w:r w:rsidR="009033ED">
        <w:rPr>
          <w:rFonts w:ascii="Arial" w:eastAsia="Times New Roman" w:hAnsi="Arial" w:cs="Arial"/>
          <w:sz w:val="20"/>
          <w:szCs w:val="20"/>
          <w:lang w:eastAsia="es-ES"/>
        </w:rPr>
        <w:t>Prot</w:t>
      </w:r>
      <w:proofErr w:type="spellEnd"/>
      <w:r w:rsidR="009033ED">
        <w:rPr>
          <w:rFonts w:ascii="Arial" w:eastAsia="Times New Roman" w:hAnsi="Arial" w:cs="Arial"/>
          <w:sz w:val="20"/>
          <w:szCs w:val="20"/>
          <w:lang w:eastAsia="es-ES"/>
        </w:rPr>
        <w:t xml:space="preserve"> 1017, Glucosa 20 de aspecto </w:t>
      </w:r>
      <w:proofErr w:type="spellStart"/>
      <w:r w:rsidR="009033ED">
        <w:rPr>
          <w:rFonts w:ascii="Arial" w:eastAsia="Times New Roman" w:hAnsi="Arial" w:cs="Arial"/>
          <w:sz w:val="20"/>
          <w:szCs w:val="20"/>
          <w:lang w:eastAsia="es-ES"/>
        </w:rPr>
        <w:t>xantocrómico</w:t>
      </w:r>
      <w:proofErr w:type="spellEnd"/>
      <w:r w:rsidR="009033ED">
        <w:rPr>
          <w:rFonts w:ascii="Arial" w:eastAsia="Times New Roman" w:hAnsi="Arial" w:cs="Arial"/>
          <w:sz w:val="20"/>
          <w:szCs w:val="20"/>
          <w:lang w:eastAsia="es-ES"/>
        </w:rPr>
        <w:t xml:space="preserve"> y Gram sin formas bacterianas con BAAR positivo. Se inició terapia antimicrobiana adecuada con </w:t>
      </w:r>
      <w:proofErr w:type="spellStart"/>
      <w:r w:rsidR="009033ED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9033E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033ED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9033ED">
        <w:rPr>
          <w:rFonts w:ascii="Arial" w:eastAsia="Times New Roman" w:hAnsi="Arial" w:cs="Arial"/>
          <w:sz w:val="20"/>
          <w:szCs w:val="20"/>
          <w:lang w:eastAsia="es-ES"/>
        </w:rPr>
        <w:t xml:space="preserve">, inicialmente con buena respuesta y con evidencia </w:t>
      </w:r>
      <w:proofErr w:type="spellStart"/>
      <w:r w:rsidR="009033ED">
        <w:rPr>
          <w:rFonts w:ascii="Arial" w:eastAsia="Times New Roman" w:hAnsi="Arial" w:cs="Arial"/>
          <w:sz w:val="20"/>
          <w:szCs w:val="20"/>
          <w:lang w:eastAsia="es-ES"/>
        </w:rPr>
        <w:t>tomográfica</w:t>
      </w:r>
      <w:proofErr w:type="spellEnd"/>
      <w:r w:rsidR="009033ED">
        <w:rPr>
          <w:rFonts w:ascii="Arial" w:eastAsia="Times New Roman" w:hAnsi="Arial" w:cs="Arial"/>
          <w:sz w:val="20"/>
          <w:szCs w:val="20"/>
          <w:lang w:eastAsia="es-ES"/>
        </w:rPr>
        <w:t xml:space="preserve"> de disminución de la hidrocefalia.</w:t>
      </w:r>
    </w:p>
    <w:p w:rsidR="00231948" w:rsidRDefault="00231948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a este hospital el 27/04/17 destacó la postración a cama, sin valoración del estado de la marcha, desorientada, somnolienta, afásica, Glasgow 10, facie no característica, irritable, no cooperadora, movimientos oculares normales, pupilas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hiporreflécticas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reflejo corneal presente, conjuntivas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normocrómicas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Neurológicamente con alteración de funciones mentales superiores, sin afección aparente de pares craneales, fuerza muscular 5/5, reflejos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osteotendinosos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+++/++ en miembros superiores, resto normales, sin focalización y ausencia de movimientos o posturas anormales. Se reportó tinción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Kinyoun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(+) 20 BAAR por campo. TAC de cráneo simple y contrastada con realce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leptomeníngeo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generalizado, sugerente de proceso infeccioso, sin delimitarse abscesos o colecciones, hidrocefalia secundaria. IRM reportó hidrocefalia secundaria con presencia de edema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periventricular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no se observaron granulomas. Se decidió ingreso a hospitalización con diagnóstico de Meningitis Tuberculosa.</w:t>
      </w:r>
    </w:p>
    <w:p w:rsidR="00564341" w:rsidRDefault="009033ED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01/05/17 la paciente presentó deterioro neurológico, probablemente relacionado a la hidrocefalia, por lo que se realizó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electiva, posteriormente se encontró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modinámicamente</w:t>
      </w:r>
      <w:proofErr w:type="spellEnd"/>
      <w:r w:rsidR="00231948">
        <w:rPr>
          <w:rFonts w:ascii="Arial" w:eastAsia="Times New Roman" w:hAnsi="Arial" w:cs="Arial"/>
          <w:sz w:val="20"/>
          <w:szCs w:val="20"/>
          <w:lang w:eastAsia="es-ES"/>
        </w:rPr>
        <w:t xml:space="preserve"> estable en espe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ra de tiempo quirúrgico. El 06/05/17 se colocó válvula de derivación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ventriculoperitoneal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se suspendió sedación para valoración de ventana neurológica. La paciente presentó apertura ocular y movimientos en respuest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a a estímulo doloroso y adecuad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 patrón ventilatorio con 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uso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CPAP por lo que se realizó progresión ventilatoria. El 12/05/17 se logró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extubación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realizó nueva tomografía donde se observó hidrocefalia y presencia de isquemia en tallo cerebral. El 14/05/17 presentó alteraciones en el patrón ventilatorio,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hipoventilación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izquierdo</w:t>
      </w:r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con presencia de atelectasia derecha con un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Kirby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de 80 por lo que se decidió nuevamente intubación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, con sedación con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propofol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, la cual se suspendió al presentar hipotensión 80/60 y se inició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Precedex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y se colocó catéter venoso central, se realizó ECG reportando lesión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subendocárdica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y elevación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biomarcadores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de necrosis, integrando diagnóstico de Infarto Agudo al Miocardio sin elevación del segmento ST, secundario a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imbalance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 entre aporte y demanda de O2, se detectó foco de infección urinario por lo que se inició 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>. El 16/05/17 se reportó con deterioro ventilatorio, con presencia de hipotensión a pesar de la administración de norepinefrina a 0.25 gramos, y vasopresina a 4 ml/</w:t>
      </w:r>
      <w:proofErr w:type="spellStart"/>
      <w:r w:rsidR="00125339">
        <w:rPr>
          <w:rFonts w:ascii="Arial" w:eastAsia="Times New Roman" w:hAnsi="Arial" w:cs="Arial"/>
          <w:sz w:val="20"/>
          <w:szCs w:val="20"/>
          <w:lang w:eastAsia="es-ES"/>
        </w:rPr>
        <w:t>hr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, febril, con persistencia de desequilibrio hidroelectrolítico. Debido a las 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>malas condiciones de la pacient</w:t>
      </w:r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e se </w:t>
      </w:r>
      <w:r w:rsidR="00125339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comentó con familiar la necesidad de realizar maniobras de reanimación cardiopulmonar en caso 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 xml:space="preserve">de presentar paro </w:t>
      </w:r>
      <w:proofErr w:type="spellStart"/>
      <w:r w:rsidR="00231948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25339">
        <w:rPr>
          <w:rFonts w:ascii="Arial" w:eastAsia="Times New Roman" w:hAnsi="Arial" w:cs="Arial"/>
          <w:sz w:val="20"/>
          <w:szCs w:val="20"/>
          <w:lang w:eastAsia="es-ES"/>
        </w:rPr>
        <w:t>, el familiar negó consentimiento a realizar dichas maniobras. A las 16:00 horas</w:t>
      </w:r>
      <w:r w:rsidR="0023194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25339">
        <w:rPr>
          <w:rFonts w:ascii="Arial" w:eastAsia="Times New Roman" w:hAnsi="Arial" w:cs="Arial"/>
          <w:sz w:val="20"/>
          <w:szCs w:val="20"/>
          <w:lang w:eastAsia="es-ES"/>
        </w:rPr>
        <w:t xml:space="preserve">se reportó asistolia, dictaminando la defunción. </w:t>
      </w:r>
    </w:p>
    <w:p w:rsidR="00DF7B8E" w:rsidRDefault="00DF7B8E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23194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55092D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A419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23194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Meníngea</w:t>
      </w:r>
      <w:r w:rsidR="00FC7017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3D771B">
        <w:rPr>
          <w:rFonts w:ascii="Arial" w:hAnsi="Arial" w:cs="Arial"/>
          <w:sz w:val="20"/>
          <w:szCs w:val="20"/>
        </w:rPr>
        <w:t>A170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23194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Hidrocefalia </w:t>
      </w:r>
      <w:r w:rsidR="00EA1589"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 </w:t>
      </w:r>
      <w:r w:rsidR="003D771B">
        <w:rPr>
          <w:rFonts w:ascii="Arial" w:hAnsi="Arial" w:cs="Arial"/>
          <w:sz w:val="20"/>
          <w:szCs w:val="20"/>
        </w:rPr>
        <w:t>G919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23194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Infarto Agudo al Miocardio </w:t>
      </w:r>
      <w:proofErr w:type="spellStart"/>
      <w:r>
        <w:rPr>
          <w:rFonts w:ascii="Arial" w:hAnsi="Arial" w:cs="Arial"/>
          <w:sz w:val="20"/>
          <w:szCs w:val="20"/>
        </w:rPr>
        <w:t>Subendocardico</w:t>
      </w:r>
      <w:proofErr w:type="spellEnd"/>
      <w:r w:rsidR="00EA1589"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 </w:t>
      </w:r>
      <w:r w:rsidR="003D771B">
        <w:rPr>
          <w:rFonts w:ascii="Arial" w:hAnsi="Arial" w:cs="Arial"/>
          <w:sz w:val="20"/>
          <w:szCs w:val="20"/>
        </w:rPr>
        <w:t>I214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41" w:rsidRDefault="00E55841" w:rsidP="00EF2D4E">
      <w:pPr>
        <w:spacing w:after="0" w:line="240" w:lineRule="auto"/>
      </w:pPr>
      <w:r>
        <w:separator/>
      </w:r>
    </w:p>
  </w:endnote>
  <w:endnote w:type="continuationSeparator" w:id="0">
    <w:p w:rsidR="00E55841" w:rsidRDefault="00E55841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41" w:rsidRDefault="00E55841" w:rsidP="00EF2D4E">
      <w:pPr>
        <w:spacing w:after="0" w:line="240" w:lineRule="auto"/>
      </w:pPr>
      <w:r>
        <w:separator/>
      </w:r>
    </w:p>
  </w:footnote>
  <w:footnote w:type="continuationSeparator" w:id="0">
    <w:p w:rsidR="00E55841" w:rsidRDefault="00E55841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10120F"/>
    <w:rsid w:val="00125339"/>
    <w:rsid w:val="00144917"/>
    <w:rsid w:val="0015716C"/>
    <w:rsid w:val="00166C83"/>
    <w:rsid w:val="00191CF2"/>
    <w:rsid w:val="001D00D1"/>
    <w:rsid w:val="001F65C7"/>
    <w:rsid w:val="00231948"/>
    <w:rsid w:val="0026716F"/>
    <w:rsid w:val="002A43DF"/>
    <w:rsid w:val="002A5A1B"/>
    <w:rsid w:val="002B416E"/>
    <w:rsid w:val="002D3E76"/>
    <w:rsid w:val="00304651"/>
    <w:rsid w:val="0033779E"/>
    <w:rsid w:val="0036701C"/>
    <w:rsid w:val="00384004"/>
    <w:rsid w:val="00394396"/>
    <w:rsid w:val="003D25B1"/>
    <w:rsid w:val="003D771B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261F"/>
    <w:rsid w:val="006B6CB2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033ED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C6E39"/>
    <w:rsid w:val="00CD48A1"/>
    <w:rsid w:val="00D37386"/>
    <w:rsid w:val="00D466F7"/>
    <w:rsid w:val="00D57F09"/>
    <w:rsid w:val="00D73328"/>
    <w:rsid w:val="00D9651B"/>
    <w:rsid w:val="00DF7B8E"/>
    <w:rsid w:val="00E2267F"/>
    <w:rsid w:val="00E27041"/>
    <w:rsid w:val="00E31F7F"/>
    <w:rsid w:val="00E32A5B"/>
    <w:rsid w:val="00E33FC8"/>
    <w:rsid w:val="00E55841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BB1E-1C26-4EAC-9A15-B35BFEE3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2017-05-18T18:01:00Z</dcterms:created>
  <dcterms:modified xsi:type="dcterms:W3CDTF">2017-05-19T16:44:00Z</dcterms:modified>
</cp:coreProperties>
</file>