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B97D8A">
        <w:t>Lucio Martínez González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97D8A">
        <w:t>17</w:t>
      </w:r>
      <w:r w:rsidR="00010180">
        <w:t>/09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B97D8A">
        <w:rPr>
          <w:b/>
        </w:rPr>
        <w:t>180646951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736CE6" w:rsidRDefault="00736CE6" w:rsidP="00D9637B">
      <w:pPr>
        <w:spacing w:after="0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185349" w:rsidRDefault="008D0A22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B97D8A">
        <w:rPr>
          <w:rFonts w:ascii="Arial" w:eastAsia="Times New Roman" w:hAnsi="Arial" w:cs="Arial"/>
          <w:sz w:val="20"/>
          <w:szCs w:val="20"/>
          <w:lang w:eastAsia="es-ES"/>
        </w:rPr>
        <w:t>70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años de edad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B97D8A">
        <w:rPr>
          <w:rFonts w:ascii="Arial" w:eastAsia="Times New Roman" w:hAnsi="Arial" w:cs="Arial"/>
          <w:sz w:val="20"/>
          <w:szCs w:val="20"/>
          <w:lang w:eastAsia="es-ES"/>
        </w:rPr>
        <w:t xml:space="preserve">originario </w:t>
      </w:r>
      <w:r w:rsidR="00C32FD2">
        <w:rPr>
          <w:rFonts w:ascii="Arial" w:eastAsia="Times New Roman" w:hAnsi="Arial" w:cs="Arial"/>
          <w:sz w:val="20"/>
          <w:szCs w:val="20"/>
          <w:lang w:eastAsia="es-ES"/>
        </w:rPr>
        <w:t xml:space="preserve">de </w:t>
      </w:r>
      <w:r w:rsidR="00B97D8A">
        <w:rPr>
          <w:rFonts w:ascii="Arial" w:eastAsia="Times New Roman" w:hAnsi="Arial" w:cs="Arial"/>
          <w:sz w:val="20"/>
          <w:szCs w:val="20"/>
          <w:lang w:eastAsia="es-ES"/>
        </w:rPr>
        <w:t>Lagunillas</w:t>
      </w:r>
      <w:r w:rsidR="003A263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>S.L.P.,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San Luis Potosí durante los últimos 3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 meses, previamente residía en É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>bano, S.L.P.,</w:t>
      </w:r>
      <w:r w:rsidR="008B76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 xml:space="preserve">escolaridad primaria incompleta, viudo desde hace 32 años, 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 xml:space="preserve">padre de 6 hijos, 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>dedicado a la agricultura hasta los 40 años de edad, poste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>riormente se dedicó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 xml:space="preserve"> al comercio (carnicería), desempleado durante los últimos 4 meses, religión católica, tipo de sangre A, Rh positivo.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 Residió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 xml:space="preserve"> durante los últimos 4 meses en la casa de hija en el municipio de Soledad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 de Graciano Sán</w:t>
      </w:r>
      <w:r w:rsidR="004F6AC9">
        <w:rPr>
          <w:rFonts w:ascii="Arial" w:eastAsia="Times New Roman" w:hAnsi="Arial" w:cs="Arial"/>
          <w:sz w:val="20"/>
          <w:szCs w:val="20"/>
          <w:lang w:eastAsia="es-ES"/>
        </w:rPr>
        <w:t>chez, S.L.P., refirió tabaquismo desde los 20 años de edad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>, suspendido hace 30 años con un IT 6, consumo de alcohol desde los 18 años a razón de una vez por semana, suspendido hace 5 años, negó otras toxicomanías, transfusión sanguínea hace un mes por anemia no especificada, exposición a humo de leña durante su infancia, negó antecedente de ho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 xml:space="preserve">pitalizaciones, no cirugías ni alergias. </w:t>
      </w:r>
    </w:p>
    <w:p w:rsidR="00552F98" w:rsidRDefault="000A50F8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Antecedente de 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 xml:space="preserve"> pérdida ponderal de 10 Kg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3 meses</w:t>
      </w:r>
      <w:r w:rsidR="00552F98">
        <w:rPr>
          <w:rFonts w:ascii="Arial" w:eastAsia="Times New Roman" w:hAnsi="Arial" w:cs="Arial"/>
          <w:sz w:val="20"/>
          <w:szCs w:val="20"/>
          <w:lang w:eastAsia="es-ES"/>
        </w:rPr>
        <w:t xml:space="preserve">, agregándose </w:t>
      </w:r>
      <w:proofErr w:type="spellStart"/>
      <w:r w:rsidR="00552F98"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 w:rsidR="00552F98">
        <w:rPr>
          <w:rFonts w:ascii="Arial" w:eastAsia="Times New Roman" w:hAnsi="Arial" w:cs="Arial"/>
          <w:sz w:val="20"/>
          <w:szCs w:val="20"/>
          <w:lang w:eastAsia="es-ES"/>
        </w:rPr>
        <w:t>, malestar general, dolor generalizado sin predominio de horario, negó la presencia de tos, diaforesis, fiebre u otra sintomatología agregada.</w:t>
      </w:r>
    </w:p>
    <w:p w:rsidR="000A50F8" w:rsidRDefault="000A50F8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ultimo padecimiento en Abril del 2018 con dolor intenso en el miembro pélvico derecho en e</w:t>
      </w:r>
      <w:r w:rsidR="00A62C44">
        <w:rPr>
          <w:rFonts w:ascii="Arial" w:eastAsia="Times New Roman" w:hAnsi="Arial" w:cs="Arial"/>
          <w:sz w:val="20"/>
          <w:szCs w:val="20"/>
          <w:lang w:eastAsia="es-ES"/>
        </w:rPr>
        <w:t>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cala 8/10 por lo que acudió a atención médica con facultativo, manejo no especificado sin mostrar mejoría aparente. En el mes de Julio del 2018 acudió a consulta con traumatólogo donde realizaron estudios radiográficos y de laboratorio donde se reportó fosfatasa alcalina de 3394, ameritando interconsulta con Medicina Interna quien realizó estudio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gamagráfico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evidenciando activida</w:t>
      </w:r>
      <w:r w:rsidR="00A62C44">
        <w:rPr>
          <w:rFonts w:ascii="Arial" w:eastAsia="Times New Roman" w:hAnsi="Arial" w:cs="Arial"/>
          <w:sz w:val="20"/>
          <w:szCs w:val="20"/>
          <w:lang w:eastAsia="es-ES"/>
        </w:rPr>
        <w:t>d tumoral diseminada a sistema 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seo a nivel parietal, frontal, occipital, temporales, región peri orbitaria, huesos de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naríz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maxilares, hombro, clavículas, escápulas, húmeros, articulación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esternoclavicular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bilateral, esternón, parrilla costal, columna vertebral, ilion bilateral, articulación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sacroiliaca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bilateral, articulación acetábulo femoral bilateral, pubis, isquion bilateral, fémur, rodillas y el tercio proximal de ambas tibias.</w:t>
      </w:r>
      <w:r w:rsidR="00A87B3A">
        <w:rPr>
          <w:rFonts w:ascii="Arial" w:eastAsia="Times New Roman" w:hAnsi="Arial" w:cs="Arial"/>
          <w:sz w:val="20"/>
          <w:szCs w:val="20"/>
          <w:lang w:eastAsia="es-ES"/>
        </w:rPr>
        <w:t xml:space="preserve"> Posteriormente fue valorado por el servicio de O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ncología donde se realizó TAC </w:t>
      </w:r>
      <w:proofErr w:type="spellStart"/>
      <w:r w:rsidR="0039356E">
        <w:rPr>
          <w:rFonts w:ascii="Arial" w:eastAsia="Times New Roman" w:hAnsi="Arial" w:cs="Arial"/>
          <w:sz w:val="20"/>
          <w:szCs w:val="20"/>
          <w:lang w:eastAsia="es-ES"/>
        </w:rPr>
        <w:t>tó</w:t>
      </w:r>
      <w:r w:rsidR="00A87B3A">
        <w:rPr>
          <w:rFonts w:ascii="Arial" w:eastAsia="Times New Roman" w:hAnsi="Arial" w:cs="Arial"/>
          <w:sz w:val="20"/>
          <w:szCs w:val="20"/>
          <w:lang w:eastAsia="es-ES"/>
        </w:rPr>
        <w:t>raco</w:t>
      </w:r>
      <w:proofErr w:type="spellEnd"/>
      <w:r w:rsidR="00A87B3A">
        <w:rPr>
          <w:rFonts w:ascii="Arial" w:eastAsia="Times New Roman" w:hAnsi="Arial" w:cs="Arial"/>
          <w:sz w:val="20"/>
          <w:szCs w:val="20"/>
          <w:lang w:eastAsia="es-ES"/>
        </w:rPr>
        <w:t xml:space="preserve"> abdominal el 31/07/2018 donde se reportó tumoración pulmonar derecha, tumoración gástrica, crecimiento prostático grado IV con realce heterogéneo y cambios en la grasa periférica no descartando 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proceso neoplásico, así </w:t>
      </w:r>
      <w:r w:rsidR="00A87B3A">
        <w:rPr>
          <w:rFonts w:ascii="Arial" w:eastAsia="Times New Roman" w:hAnsi="Arial" w:cs="Arial"/>
          <w:sz w:val="20"/>
          <w:szCs w:val="20"/>
          <w:lang w:eastAsia="es-ES"/>
        </w:rPr>
        <w:t xml:space="preserve">como hallazgos que sugirieron actividad tumoral </w:t>
      </w:r>
      <w:proofErr w:type="spellStart"/>
      <w:r w:rsidR="00A87B3A">
        <w:rPr>
          <w:rFonts w:ascii="Arial" w:eastAsia="Times New Roman" w:hAnsi="Arial" w:cs="Arial"/>
          <w:sz w:val="20"/>
          <w:szCs w:val="20"/>
          <w:lang w:eastAsia="es-ES"/>
        </w:rPr>
        <w:t>metastásica</w:t>
      </w:r>
      <w:proofErr w:type="spellEnd"/>
      <w:r w:rsidR="00A87B3A">
        <w:rPr>
          <w:rFonts w:ascii="Arial" w:eastAsia="Times New Roman" w:hAnsi="Arial" w:cs="Arial"/>
          <w:sz w:val="20"/>
          <w:szCs w:val="20"/>
          <w:lang w:eastAsia="es-ES"/>
        </w:rPr>
        <w:t xml:space="preserve"> ósea, ganglionar axilar, </w:t>
      </w:r>
      <w:proofErr w:type="spellStart"/>
      <w:r w:rsidR="00A87B3A">
        <w:rPr>
          <w:rFonts w:ascii="Arial" w:eastAsia="Times New Roman" w:hAnsi="Arial" w:cs="Arial"/>
          <w:sz w:val="20"/>
          <w:szCs w:val="20"/>
          <w:lang w:eastAsia="es-ES"/>
        </w:rPr>
        <w:t>media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A87B3A">
        <w:rPr>
          <w:rFonts w:ascii="Arial" w:eastAsia="Times New Roman" w:hAnsi="Arial" w:cs="Arial"/>
          <w:sz w:val="20"/>
          <w:szCs w:val="20"/>
          <w:lang w:eastAsia="es-ES"/>
        </w:rPr>
        <w:t>tinal</w:t>
      </w:r>
      <w:proofErr w:type="spellEnd"/>
      <w:r w:rsidR="00A87B3A">
        <w:rPr>
          <w:rFonts w:ascii="Arial" w:eastAsia="Times New Roman" w:hAnsi="Arial" w:cs="Arial"/>
          <w:sz w:val="20"/>
          <w:szCs w:val="20"/>
          <w:lang w:eastAsia="es-ES"/>
        </w:rPr>
        <w:t xml:space="preserve"> y retroperitoneal, hepática, así como probable adrenal bilateral. Se realizaron 7 sesiones de radioterapia, el 04/09/2018 se realizó biopsia de la tumoración pulmonar donde se reportó tejido pulmonar con inflamación crónica de tipo granulomatosa con necrosis caseosa</w:t>
      </w:r>
      <w:r w:rsidR="00A116C0">
        <w:rPr>
          <w:rFonts w:ascii="Arial" w:eastAsia="Times New Roman" w:hAnsi="Arial" w:cs="Arial"/>
          <w:sz w:val="20"/>
          <w:szCs w:val="20"/>
          <w:lang w:eastAsia="es-ES"/>
        </w:rPr>
        <w:t xml:space="preserve">, se inició tratamiento con </w:t>
      </w:r>
      <w:proofErr w:type="spellStart"/>
      <w:r w:rsidR="00A116C0">
        <w:rPr>
          <w:rFonts w:ascii="Arial" w:eastAsia="Times New Roman" w:hAnsi="Arial" w:cs="Arial"/>
          <w:sz w:val="20"/>
          <w:szCs w:val="20"/>
          <w:lang w:eastAsia="es-ES"/>
        </w:rPr>
        <w:t>dotbal</w:t>
      </w:r>
      <w:proofErr w:type="spellEnd"/>
      <w:r w:rsidR="00A116C0">
        <w:rPr>
          <w:rFonts w:ascii="Arial" w:eastAsia="Times New Roman" w:hAnsi="Arial" w:cs="Arial"/>
          <w:sz w:val="20"/>
          <w:szCs w:val="20"/>
          <w:lang w:eastAsia="es-ES"/>
        </w:rPr>
        <w:t xml:space="preserve"> el 10/09/2018. </w:t>
      </w:r>
    </w:p>
    <w:p w:rsidR="00A116C0" w:rsidRDefault="00A116C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Ingreso a esta unidad el 12/09/2018 tras presentar cuadro de disnea progresiva, caída de su propia altura y pérdida del estado de alerta, posteriormente presentó palidez generalizada, náusea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hiporexia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traído a urgencias tras presentar dolor intenso generalizado. A su ingreso se encontró temperatura 35ºC, tensión arterial 90/40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FC 120, FR 14,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O2 93% con apoyo suplementario de oxígeno. Tendiente a la hipotensión y taquicardia. A la exploración física se encontró estuporoso por hipoglucemia de 29 mg/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dL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recuperando con 50gr de dextrosa IV, con somnolenci</w:t>
      </w:r>
      <w:r w:rsidR="0064312C">
        <w:rPr>
          <w:rFonts w:ascii="Arial" w:eastAsia="Times New Roman" w:hAnsi="Arial" w:cs="Arial"/>
          <w:sz w:val="20"/>
          <w:szCs w:val="20"/>
          <w:lang w:eastAsia="es-ES"/>
        </w:rPr>
        <w:t>a, quejido por dolor, obedecía ó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rdenes simples, pupilas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isocoricas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24767F">
        <w:rPr>
          <w:rFonts w:ascii="Arial" w:eastAsia="Times New Roman" w:hAnsi="Arial" w:cs="Arial"/>
          <w:sz w:val="20"/>
          <w:szCs w:val="20"/>
          <w:lang w:eastAsia="es-ES"/>
        </w:rPr>
        <w:t>normorreflecticas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, regularmente hidratado, no plétora yugular, campos pulmonares con estertores finos </w:t>
      </w:r>
      <w:proofErr w:type="spellStart"/>
      <w:r w:rsidR="0024767F">
        <w:rPr>
          <w:rFonts w:ascii="Arial" w:eastAsia="Times New Roman" w:hAnsi="Arial" w:cs="Arial"/>
          <w:sz w:val="20"/>
          <w:szCs w:val="20"/>
          <w:lang w:eastAsia="es-ES"/>
        </w:rPr>
        <w:t>bibasales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, abdomen </w:t>
      </w:r>
      <w:r w:rsidR="0064312C">
        <w:rPr>
          <w:rFonts w:ascii="Arial" w:eastAsia="Times New Roman" w:hAnsi="Arial" w:cs="Arial"/>
          <w:sz w:val="20"/>
          <w:szCs w:val="20"/>
          <w:lang w:eastAsia="es-ES"/>
        </w:rPr>
        <w:t xml:space="preserve">no doloroso, </w:t>
      </w:r>
      <w:proofErr w:type="spellStart"/>
      <w:r w:rsidR="0064312C">
        <w:rPr>
          <w:rFonts w:ascii="Arial" w:eastAsia="Times New Roman" w:hAnsi="Arial" w:cs="Arial"/>
          <w:sz w:val="20"/>
          <w:szCs w:val="20"/>
          <w:lang w:eastAsia="es-ES"/>
        </w:rPr>
        <w:t>peristá</w:t>
      </w:r>
      <w:r w:rsidR="0024767F">
        <w:rPr>
          <w:rFonts w:ascii="Arial" w:eastAsia="Times New Roman" w:hAnsi="Arial" w:cs="Arial"/>
          <w:sz w:val="20"/>
          <w:szCs w:val="20"/>
          <w:lang w:eastAsia="es-ES"/>
        </w:rPr>
        <w:t>lsis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 presente, edema de miembros inferiores 3+, rigidez de nuca dudoso. Se ingresó al piso de Medicina Interna con apoyo de oxígeno por puntas nasales. Se inició manejo con </w:t>
      </w:r>
      <w:proofErr w:type="spellStart"/>
      <w:r w:rsidR="0024767F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24767F">
        <w:rPr>
          <w:rFonts w:ascii="Arial" w:eastAsia="Times New Roman" w:hAnsi="Arial" w:cs="Arial"/>
          <w:sz w:val="20"/>
          <w:szCs w:val="20"/>
          <w:lang w:eastAsia="es-ES"/>
        </w:rPr>
        <w:t>claritromicina</w:t>
      </w:r>
      <w:proofErr w:type="spellEnd"/>
      <w:r w:rsidR="0024767F">
        <w:rPr>
          <w:rFonts w:ascii="Arial" w:eastAsia="Times New Roman" w:hAnsi="Arial" w:cs="Arial"/>
          <w:sz w:val="20"/>
          <w:szCs w:val="20"/>
          <w:lang w:eastAsia="es-ES"/>
        </w:rPr>
        <w:t>, evolucionando con datos de choq</w:t>
      </w:r>
      <w:r w:rsidR="0064312C">
        <w:rPr>
          <w:rFonts w:ascii="Arial" w:eastAsia="Times New Roman" w:hAnsi="Arial" w:cs="Arial"/>
          <w:sz w:val="20"/>
          <w:szCs w:val="20"/>
          <w:lang w:eastAsia="es-ES"/>
        </w:rPr>
        <w:t>ue, se manejó</w:t>
      </w:r>
      <w:r w:rsidR="0024767F">
        <w:rPr>
          <w:rFonts w:ascii="Arial" w:eastAsia="Times New Roman" w:hAnsi="Arial" w:cs="Arial"/>
          <w:sz w:val="20"/>
          <w:szCs w:val="20"/>
          <w:lang w:eastAsia="es-ES"/>
        </w:rPr>
        <w:t xml:space="preserve"> con líquidos sin obtener buena respuesta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, se administró </w:t>
      </w:r>
      <w:proofErr w:type="spellStart"/>
      <w:r w:rsidR="0039356E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 sin mostrar mejoría. Se decidió iniciar manejo con norepinefrina y posteriormente vasopresina, manteniendo TAM 60, sin embargo </w:t>
      </w:r>
      <w:r w:rsidR="0039356E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persistió con datos de choque séptico.se informó a los familiares el mal pronóstico a corto plazo, quienes no aceptaron realizar intubación </w:t>
      </w:r>
      <w:proofErr w:type="spellStart"/>
      <w:r w:rsidR="0039356E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39356E">
        <w:rPr>
          <w:rFonts w:ascii="Arial" w:eastAsia="Times New Roman" w:hAnsi="Arial" w:cs="Arial"/>
          <w:sz w:val="20"/>
          <w:szCs w:val="20"/>
          <w:lang w:eastAsia="es-ES"/>
        </w:rPr>
        <w:t xml:space="preserve"> ni reanimación cardiopulmonar en caso de ser necesario y firmaron expediente. Se mantuvo con manejo de analgesia únicamente y cuidados médicos. El 17/09/2018 presen</w:t>
      </w:r>
      <w:r w:rsidR="0064312C">
        <w:rPr>
          <w:rFonts w:ascii="Arial" w:eastAsia="Times New Roman" w:hAnsi="Arial" w:cs="Arial"/>
          <w:sz w:val="20"/>
          <w:szCs w:val="20"/>
          <w:lang w:eastAsia="es-ES"/>
        </w:rPr>
        <w:t xml:space="preserve">tó asistolia y se </w:t>
      </w:r>
      <w:bookmarkStart w:id="0" w:name="_GoBack"/>
      <w:bookmarkEnd w:id="0"/>
      <w:r w:rsidR="0039356E">
        <w:rPr>
          <w:rFonts w:ascii="Arial" w:eastAsia="Times New Roman" w:hAnsi="Arial" w:cs="Arial"/>
          <w:sz w:val="20"/>
          <w:szCs w:val="20"/>
          <w:lang w:eastAsia="es-ES"/>
        </w:rPr>
        <w:t>dictaminó la defunción a las 10:09 horas.</w:t>
      </w:r>
    </w:p>
    <w:p w:rsidR="000A50F8" w:rsidRDefault="000A50F8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10180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010180" w:rsidRPr="00D60EC5" w:rsidRDefault="00010180" w:rsidP="0001018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D67527" w:rsidRDefault="0039356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Choque Séptico</w:t>
      </w:r>
    </w:p>
    <w:p w:rsidR="0039356E" w:rsidRDefault="0039356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Adquirida en la Comunidad</w:t>
      </w:r>
    </w:p>
    <w:p w:rsidR="0039356E" w:rsidRDefault="0039356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Tuberculosis Pulmonar</w:t>
      </w:r>
    </w:p>
    <w:p w:rsidR="0039356E" w:rsidRDefault="0039356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Tumor Primario Desconocido</w:t>
      </w:r>
    </w:p>
    <w:p w:rsidR="0039356E" w:rsidRPr="0050146D" w:rsidRDefault="0039356E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Metástasis Óseas</w:t>
      </w:r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50146D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Pr="0050146D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39356E">
      <w:pPr>
        <w:spacing w:after="0"/>
        <w:ind w:left="6372"/>
        <w:jc w:val="right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39356E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826" w:rsidRDefault="00480826" w:rsidP="00EF2D4E">
      <w:pPr>
        <w:spacing w:after="0" w:line="240" w:lineRule="auto"/>
      </w:pPr>
      <w:r>
        <w:separator/>
      </w:r>
    </w:p>
  </w:endnote>
  <w:endnote w:type="continuationSeparator" w:id="0">
    <w:p w:rsidR="00480826" w:rsidRDefault="0048082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826" w:rsidRDefault="00480826" w:rsidP="00EF2D4E">
      <w:pPr>
        <w:spacing w:after="0" w:line="240" w:lineRule="auto"/>
      </w:pPr>
      <w:r>
        <w:separator/>
      </w:r>
    </w:p>
  </w:footnote>
  <w:footnote w:type="continuationSeparator" w:id="0">
    <w:p w:rsidR="00480826" w:rsidRDefault="0048082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10180"/>
    <w:rsid w:val="00024BAC"/>
    <w:rsid w:val="00037571"/>
    <w:rsid w:val="00040E57"/>
    <w:rsid w:val="00071D4D"/>
    <w:rsid w:val="00076E5C"/>
    <w:rsid w:val="00082C44"/>
    <w:rsid w:val="00092429"/>
    <w:rsid w:val="000A46A5"/>
    <w:rsid w:val="000A50F8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33208"/>
    <w:rsid w:val="0024767F"/>
    <w:rsid w:val="0026716F"/>
    <w:rsid w:val="00292BE5"/>
    <w:rsid w:val="00296941"/>
    <w:rsid w:val="002A43DF"/>
    <w:rsid w:val="002A5A1B"/>
    <w:rsid w:val="002D13D9"/>
    <w:rsid w:val="002D3E76"/>
    <w:rsid w:val="002D4B8B"/>
    <w:rsid w:val="00304651"/>
    <w:rsid w:val="00337498"/>
    <w:rsid w:val="0033779E"/>
    <w:rsid w:val="0034467A"/>
    <w:rsid w:val="00352235"/>
    <w:rsid w:val="003637E3"/>
    <w:rsid w:val="0036701C"/>
    <w:rsid w:val="00380B91"/>
    <w:rsid w:val="00384004"/>
    <w:rsid w:val="0039356E"/>
    <w:rsid w:val="00394396"/>
    <w:rsid w:val="003A2631"/>
    <w:rsid w:val="003A5195"/>
    <w:rsid w:val="003C3515"/>
    <w:rsid w:val="003D25B1"/>
    <w:rsid w:val="003D7277"/>
    <w:rsid w:val="003F0FBA"/>
    <w:rsid w:val="003F1E55"/>
    <w:rsid w:val="0040366A"/>
    <w:rsid w:val="00414013"/>
    <w:rsid w:val="00425FFA"/>
    <w:rsid w:val="00470D79"/>
    <w:rsid w:val="004748CB"/>
    <w:rsid w:val="00480826"/>
    <w:rsid w:val="0048307A"/>
    <w:rsid w:val="004A5EDF"/>
    <w:rsid w:val="004B1906"/>
    <w:rsid w:val="004C2593"/>
    <w:rsid w:val="004D0CCD"/>
    <w:rsid w:val="004E048C"/>
    <w:rsid w:val="004F6AC9"/>
    <w:rsid w:val="0050146D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52F98"/>
    <w:rsid w:val="00553FB2"/>
    <w:rsid w:val="00562D52"/>
    <w:rsid w:val="00564341"/>
    <w:rsid w:val="005767B8"/>
    <w:rsid w:val="00595DF3"/>
    <w:rsid w:val="005A20B0"/>
    <w:rsid w:val="005B6A3A"/>
    <w:rsid w:val="005C3C95"/>
    <w:rsid w:val="005C46F3"/>
    <w:rsid w:val="005D6F0C"/>
    <w:rsid w:val="005E2EDD"/>
    <w:rsid w:val="005F2751"/>
    <w:rsid w:val="00610202"/>
    <w:rsid w:val="00613411"/>
    <w:rsid w:val="00623EDB"/>
    <w:rsid w:val="00630AF9"/>
    <w:rsid w:val="0064312C"/>
    <w:rsid w:val="006660E6"/>
    <w:rsid w:val="00677F06"/>
    <w:rsid w:val="00684DF6"/>
    <w:rsid w:val="00696C96"/>
    <w:rsid w:val="006971C5"/>
    <w:rsid w:val="006B6CB2"/>
    <w:rsid w:val="006B7FEC"/>
    <w:rsid w:val="006D01F6"/>
    <w:rsid w:val="006D36AC"/>
    <w:rsid w:val="006E0164"/>
    <w:rsid w:val="00706BDE"/>
    <w:rsid w:val="007329D2"/>
    <w:rsid w:val="00736CE6"/>
    <w:rsid w:val="007407DB"/>
    <w:rsid w:val="007473DC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A2DC7"/>
    <w:rsid w:val="007C09C5"/>
    <w:rsid w:val="007C5A30"/>
    <w:rsid w:val="007D27A8"/>
    <w:rsid w:val="008024BF"/>
    <w:rsid w:val="0080435F"/>
    <w:rsid w:val="00806801"/>
    <w:rsid w:val="008145D1"/>
    <w:rsid w:val="00823D60"/>
    <w:rsid w:val="0084701B"/>
    <w:rsid w:val="0085104C"/>
    <w:rsid w:val="00864693"/>
    <w:rsid w:val="008745DA"/>
    <w:rsid w:val="0088293F"/>
    <w:rsid w:val="00884AA7"/>
    <w:rsid w:val="00892E13"/>
    <w:rsid w:val="008B08EB"/>
    <w:rsid w:val="008B76BC"/>
    <w:rsid w:val="008C1DE2"/>
    <w:rsid w:val="008C7DD8"/>
    <w:rsid w:val="008D0851"/>
    <w:rsid w:val="008D0A22"/>
    <w:rsid w:val="008D66F3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936BA"/>
    <w:rsid w:val="009A099C"/>
    <w:rsid w:val="009C05D5"/>
    <w:rsid w:val="009E019F"/>
    <w:rsid w:val="00A116C0"/>
    <w:rsid w:val="00A37E78"/>
    <w:rsid w:val="00A41EEA"/>
    <w:rsid w:val="00A43EB4"/>
    <w:rsid w:val="00A4768F"/>
    <w:rsid w:val="00A5700B"/>
    <w:rsid w:val="00A62C44"/>
    <w:rsid w:val="00A728AD"/>
    <w:rsid w:val="00A739DD"/>
    <w:rsid w:val="00A87B3A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97D8A"/>
    <w:rsid w:val="00BD792F"/>
    <w:rsid w:val="00BE1DD6"/>
    <w:rsid w:val="00C04547"/>
    <w:rsid w:val="00C1185D"/>
    <w:rsid w:val="00C30467"/>
    <w:rsid w:val="00C32FD2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C6378"/>
    <w:rsid w:val="00CD48A1"/>
    <w:rsid w:val="00D16670"/>
    <w:rsid w:val="00D22E4E"/>
    <w:rsid w:val="00D37386"/>
    <w:rsid w:val="00D466F7"/>
    <w:rsid w:val="00D57F09"/>
    <w:rsid w:val="00D60EC5"/>
    <w:rsid w:val="00D67527"/>
    <w:rsid w:val="00D73328"/>
    <w:rsid w:val="00D93F5E"/>
    <w:rsid w:val="00D9637B"/>
    <w:rsid w:val="00D97E48"/>
    <w:rsid w:val="00DA6A2C"/>
    <w:rsid w:val="00DB16E7"/>
    <w:rsid w:val="00DD5197"/>
    <w:rsid w:val="00DD73EB"/>
    <w:rsid w:val="00DE44D5"/>
    <w:rsid w:val="00E13042"/>
    <w:rsid w:val="00E2267F"/>
    <w:rsid w:val="00E27041"/>
    <w:rsid w:val="00E31F7F"/>
    <w:rsid w:val="00E32A5B"/>
    <w:rsid w:val="00E33FC8"/>
    <w:rsid w:val="00E80B68"/>
    <w:rsid w:val="00E942EF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33B5B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7A98-7175-4C86-9EE1-3673763A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3</cp:revision>
  <dcterms:created xsi:type="dcterms:W3CDTF">2018-09-20T20:51:00Z</dcterms:created>
  <dcterms:modified xsi:type="dcterms:W3CDTF">2018-09-21T18:08:00Z</dcterms:modified>
</cp:coreProperties>
</file>